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3D" w:rsidRDefault="002C063D" w:rsidP="002C063D">
      <w:pPr>
        <w:rPr>
          <w:rFonts w:ascii="Arial" w:hAnsi="Arial" w:cs="Arial"/>
          <w:b/>
          <w:sz w:val="20"/>
        </w:rPr>
      </w:pPr>
      <w:r w:rsidRPr="009D3F93">
        <w:rPr>
          <w:rFonts w:ascii="Arial" w:hAnsi="Arial" w:cs="Arial"/>
          <w:b/>
          <w:sz w:val="20"/>
        </w:rPr>
        <w:t xml:space="preserve">Historisk om grøt: </w:t>
      </w:r>
    </w:p>
    <w:p w:rsidR="002C063D" w:rsidRDefault="002C063D" w:rsidP="002C063D">
      <w:pPr>
        <w:rPr>
          <w:rFonts w:ascii="Arial" w:hAnsi="Arial" w:cs="Arial"/>
          <w:b/>
          <w:sz w:val="20"/>
        </w:rPr>
      </w:pPr>
    </w:p>
    <w:p w:rsidR="002C063D" w:rsidRPr="009471C1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471C1">
        <w:rPr>
          <w:rFonts w:ascii="Arial" w:hAnsi="Arial" w:cs="Arial"/>
          <w:sz w:val="20"/>
        </w:rPr>
        <w:t>En porsjon havregrøt</w:t>
      </w:r>
      <w:r w:rsidRPr="009471C1">
        <w:rPr>
          <w:rFonts w:ascii="Arial" w:hAnsi="Arial" w:cs="Arial"/>
          <w:b/>
          <w:sz w:val="20"/>
        </w:rPr>
        <w:t xml:space="preserve"> </w:t>
      </w:r>
      <w:r w:rsidRPr="009471C1">
        <w:rPr>
          <w:rFonts w:ascii="Arial" w:hAnsi="Arial" w:cs="Arial"/>
          <w:sz w:val="20"/>
        </w:rPr>
        <w:t>(fra oppskrift</w:t>
      </w:r>
      <w:r>
        <w:rPr>
          <w:rFonts w:ascii="Arial" w:hAnsi="Arial" w:cs="Arial"/>
          <w:sz w:val="20"/>
        </w:rPr>
        <w:t>en for de små) inneholder ca 210 kcal, 10 gram protein og 213</w:t>
      </w:r>
      <w:r w:rsidRPr="009471C1">
        <w:rPr>
          <w:rFonts w:ascii="Arial" w:hAnsi="Arial" w:cs="Arial"/>
          <w:sz w:val="20"/>
        </w:rPr>
        <w:t xml:space="preserve"> mg kalsium. Det </w:t>
      </w:r>
      <w:r>
        <w:rPr>
          <w:rFonts w:ascii="Arial" w:hAnsi="Arial" w:cs="Arial"/>
          <w:sz w:val="20"/>
        </w:rPr>
        <w:t xml:space="preserve">er en kilde til </w:t>
      </w:r>
      <w:r w:rsidRPr="009471C1">
        <w:rPr>
          <w:rFonts w:ascii="Arial" w:hAnsi="Arial" w:cs="Arial"/>
          <w:sz w:val="20"/>
        </w:rPr>
        <w:t xml:space="preserve">det daglige behovet for både protein og kalsium. </w:t>
      </w:r>
    </w:p>
    <w:p w:rsidR="002C063D" w:rsidRPr="009D3F93" w:rsidRDefault="002C063D" w:rsidP="002C063D">
      <w:pPr>
        <w:rPr>
          <w:rFonts w:ascii="Arial" w:hAnsi="Arial" w:cs="Arial"/>
          <w:b/>
          <w:sz w:val="20"/>
        </w:rPr>
      </w:pP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sz w:val="20"/>
        </w:rPr>
        <w:t xml:space="preserve">Det er vanskelig å si akkurat hvor gammel grøten er, men åkerbruk og fedrift var kjent allerede i yngre steinalder. (fra </w:t>
      </w:r>
      <w:smartTag w:uri="urn:schemas-microsoft-com:office:smarttags" w:element="metricconverter">
        <w:smartTagPr>
          <w:attr w:name="ProductID" w:val="2500 f"/>
        </w:smartTagPr>
        <w:r w:rsidRPr="009D3F93">
          <w:rPr>
            <w:rFonts w:ascii="Arial" w:hAnsi="Arial" w:cs="Arial"/>
            <w:sz w:val="20"/>
          </w:rPr>
          <w:t>2500 f</w:t>
        </w:r>
      </w:smartTag>
      <w:r w:rsidRPr="009D3F93">
        <w:rPr>
          <w:rFonts w:ascii="Arial" w:hAnsi="Arial" w:cs="Arial"/>
          <w:sz w:val="20"/>
        </w:rPr>
        <w:t xml:space="preserve">.Kr.) Først i steinalderen fra </w:t>
      </w:r>
      <w:smartTag w:uri="urn:schemas-microsoft-com:office:smarttags" w:element="metricconverter">
        <w:smartTagPr>
          <w:attr w:name="ProductID" w:val="200 f"/>
        </w:smartTagPr>
        <w:r w:rsidRPr="009D3F93">
          <w:rPr>
            <w:rFonts w:ascii="Arial" w:hAnsi="Arial" w:cs="Arial"/>
            <w:sz w:val="20"/>
          </w:rPr>
          <w:t>200 f</w:t>
        </w:r>
      </w:smartTag>
      <w:r w:rsidRPr="009D3F9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Kr. </w:t>
      </w:r>
      <w:r w:rsidRPr="009D3F93">
        <w:rPr>
          <w:rFonts w:ascii="Arial" w:hAnsi="Arial" w:cs="Arial"/>
          <w:sz w:val="20"/>
        </w:rPr>
        <w:t xml:space="preserve">regner man med at det egentlige jordbruket startet. </w:t>
      </w:r>
      <w:r w:rsidRPr="009D3F93">
        <w:rPr>
          <w:rFonts w:ascii="Arial" w:hAnsi="Arial" w:cs="Arial"/>
          <w:sz w:val="20"/>
        </w:rPr>
        <w:br/>
      </w: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sz w:val="20"/>
        </w:rPr>
        <w:t xml:space="preserve">Brødet og grøten er like gammelt som jordbruket. De første matrettene nordboerne laget var av kornsorten bygg. </w:t>
      </w:r>
      <w:r w:rsidRPr="009D3F93">
        <w:rPr>
          <w:rFonts w:ascii="Arial" w:hAnsi="Arial" w:cs="Arial"/>
          <w:sz w:val="20"/>
        </w:rPr>
        <w:br/>
      </w: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sz w:val="20"/>
        </w:rPr>
        <w:t>Kornet ble i begynnelsen knust i en steinmorter, og av dette ble det et svært grovt mel</w:t>
      </w:r>
      <w:r>
        <w:rPr>
          <w:rFonts w:ascii="Arial" w:hAnsi="Arial" w:cs="Arial"/>
          <w:sz w:val="20"/>
        </w:rPr>
        <w:t>. Melet ble finere da håndkvernen</w:t>
      </w:r>
      <w:r w:rsidRPr="009D3F93">
        <w:rPr>
          <w:rFonts w:ascii="Arial" w:hAnsi="Arial" w:cs="Arial"/>
          <w:sz w:val="20"/>
        </w:rPr>
        <w:t xml:space="preserve"> kom i bruk på 300-tallet e.Kr. </w:t>
      </w:r>
      <w:r w:rsidRPr="009D3F93">
        <w:rPr>
          <w:rFonts w:ascii="Arial" w:hAnsi="Arial" w:cs="Arial"/>
          <w:sz w:val="20"/>
        </w:rPr>
        <w:br/>
      </w: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sz w:val="20"/>
        </w:rPr>
        <w:t>Mye senere i middelalderen i 1340-årene hører vi om risengryn for første gang i Norden. Og den første risengrynsgrøt</w:t>
      </w:r>
      <w:r>
        <w:rPr>
          <w:rFonts w:ascii="Arial" w:hAnsi="Arial" w:cs="Arial"/>
          <w:sz w:val="20"/>
        </w:rPr>
        <w:t>en</w:t>
      </w:r>
      <w:r w:rsidRPr="009D3F93">
        <w:rPr>
          <w:rFonts w:ascii="Arial" w:hAnsi="Arial" w:cs="Arial"/>
          <w:sz w:val="20"/>
        </w:rPr>
        <w:t xml:space="preserve"> spises på </w:t>
      </w:r>
      <w:proofErr w:type="spellStart"/>
      <w:r w:rsidRPr="009D3F93">
        <w:rPr>
          <w:rFonts w:ascii="Arial" w:hAnsi="Arial" w:cs="Arial"/>
          <w:sz w:val="20"/>
        </w:rPr>
        <w:t>Bohus</w:t>
      </w:r>
      <w:proofErr w:type="spellEnd"/>
      <w:r w:rsidRPr="009D3F93">
        <w:rPr>
          <w:rFonts w:ascii="Arial" w:hAnsi="Arial" w:cs="Arial"/>
          <w:sz w:val="20"/>
        </w:rPr>
        <w:t xml:space="preserve"> festning og slott. Den gang var risengryn kun for de aller rikeste. På julaften 200 år senere, i 1541, sier historien at det ble spist risengrynsgrøt på </w:t>
      </w:r>
      <w:proofErr w:type="spellStart"/>
      <w:r w:rsidRPr="009D3F93">
        <w:rPr>
          <w:rFonts w:ascii="Arial" w:hAnsi="Arial" w:cs="Arial"/>
          <w:sz w:val="20"/>
        </w:rPr>
        <w:t>Malmøhus</w:t>
      </w:r>
      <w:proofErr w:type="spellEnd"/>
      <w:r w:rsidRPr="009D3F93">
        <w:rPr>
          <w:rFonts w:ascii="Arial" w:hAnsi="Arial" w:cs="Arial"/>
          <w:sz w:val="20"/>
        </w:rPr>
        <w:t xml:space="preserve"> slott. </w:t>
      </w:r>
      <w:r w:rsidRPr="009D3F93">
        <w:rPr>
          <w:rFonts w:ascii="Arial" w:hAnsi="Arial" w:cs="Arial"/>
          <w:sz w:val="20"/>
        </w:rPr>
        <w:br/>
      </w: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sz w:val="20"/>
        </w:rPr>
        <w:t xml:space="preserve">Grøten har en sentral plass i eventyrene. For eksempel </w:t>
      </w:r>
      <w:proofErr w:type="spellStart"/>
      <w:r w:rsidRPr="009D3F93">
        <w:rPr>
          <w:rFonts w:ascii="Arial" w:hAnsi="Arial" w:cs="Arial"/>
          <w:sz w:val="20"/>
        </w:rPr>
        <w:t>kappåt</w:t>
      </w:r>
      <w:proofErr w:type="spellEnd"/>
      <w:r w:rsidRPr="009D3F93">
        <w:rPr>
          <w:rFonts w:ascii="Arial" w:hAnsi="Arial" w:cs="Arial"/>
          <w:sz w:val="20"/>
        </w:rPr>
        <w:t xml:space="preserve"> Espen Askeladd med trollet, mens Tommeliten druknet i smørøyet.</w:t>
      </w:r>
      <w:r w:rsidRPr="009D3F93">
        <w:rPr>
          <w:rFonts w:ascii="Arial" w:hAnsi="Arial" w:cs="Arial"/>
          <w:sz w:val="20"/>
        </w:rPr>
        <w:br/>
      </w: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sz w:val="20"/>
        </w:rPr>
        <w:t>Det var stor forskjell på hva menigmann og hva de rike spiste. Folk flest spiste havre- bygg- og rugmelsgrøt, mens de rike spiste risengrynsgrøt. Grøten har historisk gått fra å være fattigmann</w:t>
      </w:r>
      <w:r>
        <w:rPr>
          <w:rFonts w:ascii="Arial" w:hAnsi="Arial" w:cs="Arial"/>
          <w:sz w:val="20"/>
        </w:rPr>
        <w:t xml:space="preserve">skost til å bli </w:t>
      </w:r>
      <w:proofErr w:type="spellStart"/>
      <w:r>
        <w:rPr>
          <w:rFonts w:ascii="Arial" w:hAnsi="Arial" w:cs="Arial"/>
          <w:sz w:val="20"/>
        </w:rPr>
        <w:t>allemannskost</w:t>
      </w:r>
      <w:proofErr w:type="spellEnd"/>
      <w:r w:rsidRPr="009D3F93">
        <w:rPr>
          <w:rFonts w:ascii="Arial" w:hAnsi="Arial" w:cs="Arial"/>
          <w:sz w:val="20"/>
        </w:rPr>
        <w:t>.</w:t>
      </w:r>
      <w:r w:rsidRPr="009D3F93">
        <w:rPr>
          <w:rFonts w:ascii="Arial" w:hAnsi="Arial" w:cs="Arial"/>
          <w:sz w:val="20"/>
        </w:rPr>
        <w:br/>
      </w: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bCs/>
          <w:sz w:val="20"/>
        </w:rPr>
        <w:t>Grøt</w:t>
      </w:r>
      <w:r w:rsidRPr="009D3F93">
        <w:rPr>
          <w:rFonts w:ascii="Arial" w:hAnsi="Arial" w:cs="Arial"/>
          <w:sz w:val="20"/>
        </w:rPr>
        <w:t xml:space="preserve"> kunne brukes til mer enn folk tror, men noe erotisk hjelpemiddel var den nok ikke. </w:t>
      </w:r>
      <w:r w:rsidRPr="009D3F93">
        <w:rPr>
          <w:rFonts w:ascii="Arial" w:hAnsi="Arial" w:cs="Arial"/>
          <w:bCs/>
          <w:sz w:val="20"/>
        </w:rPr>
        <w:t>Til det gjorde den en fo</w:t>
      </w:r>
      <w:r>
        <w:rPr>
          <w:rFonts w:ascii="Arial" w:hAnsi="Arial" w:cs="Arial"/>
          <w:bCs/>
          <w:sz w:val="20"/>
        </w:rPr>
        <w:t>r trett og lite opplagt til for mye</w:t>
      </w:r>
      <w:r w:rsidRPr="009D3F93">
        <w:rPr>
          <w:rFonts w:ascii="Arial" w:hAnsi="Arial" w:cs="Arial"/>
          <w:bCs/>
          <w:sz w:val="20"/>
        </w:rPr>
        <w:t xml:space="preserve"> sprell.</w:t>
      </w:r>
      <w:r w:rsidRPr="009D3F93">
        <w:rPr>
          <w:rFonts w:ascii="Arial" w:hAnsi="Arial" w:cs="Arial"/>
          <w:sz w:val="20"/>
        </w:rPr>
        <w:t xml:space="preserve"> Kom det en frier til gards, kunne han lese ut av serveringen hva svaret ville bli. Fikk han vassgraut, var svaret et klart nei, mens vafler tydet på et ja.</w:t>
      </w:r>
      <w:r w:rsidRPr="009D3F93">
        <w:rPr>
          <w:rFonts w:ascii="Arial" w:hAnsi="Arial" w:cs="Arial"/>
          <w:sz w:val="20"/>
        </w:rPr>
        <w:br/>
      </w: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sz w:val="20"/>
        </w:rPr>
        <w:t>Rømmegrøt var de store anledningers mat i Norge før i tiden. Da var det vanlig med rømmegrøt som barselgrøt, slåttegrøt og Jonsokgrøt.</w:t>
      </w:r>
      <w:r w:rsidRPr="009D3F93">
        <w:rPr>
          <w:rFonts w:ascii="Arial" w:hAnsi="Arial" w:cs="Arial"/>
          <w:sz w:val="20"/>
        </w:rPr>
        <w:br/>
      </w: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sz w:val="20"/>
        </w:rPr>
        <w:t>Barselgrøt skulle være noe å styrke seg med når fødselen vel var overstått og dette var en vanlig tradisjon over hele landet.</w:t>
      </w:r>
      <w:r w:rsidRPr="009D3F93">
        <w:rPr>
          <w:rFonts w:ascii="Arial" w:hAnsi="Arial" w:cs="Arial"/>
          <w:sz w:val="20"/>
        </w:rPr>
        <w:br/>
      </w: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sz w:val="20"/>
        </w:rPr>
        <w:t xml:space="preserve">Hvorfor er julegrøten så populær? Jo, det var grøtfest til alle storhendelser, blant annet fødsler. Den kaltes sengegrøt, og julegrøten er ikke noe annet enn Jomfru Marias sengegrøt i følge historien. </w:t>
      </w:r>
      <w:r w:rsidRPr="009D3F93">
        <w:rPr>
          <w:rFonts w:ascii="Arial" w:hAnsi="Arial" w:cs="Arial"/>
          <w:sz w:val="20"/>
        </w:rPr>
        <w:br/>
      </w: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sz w:val="20"/>
        </w:rPr>
        <w:t xml:space="preserve">Sankt Hans-grøten var ekstra pyntet, og den skulle spises ute, samme hvordan værgudene var i humør den dagen. Det samme gjaldt slåttegrøten som ble servert for alle </w:t>
      </w:r>
      <w:proofErr w:type="spellStart"/>
      <w:r w:rsidRPr="009D3F93">
        <w:rPr>
          <w:rFonts w:ascii="Arial" w:hAnsi="Arial" w:cs="Arial"/>
          <w:sz w:val="20"/>
        </w:rPr>
        <w:t>onnefolkene</w:t>
      </w:r>
      <w:proofErr w:type="spellEnd"/>
      <w:r w:rsidRPr="009D3F93">
        <w:rPr>
          <w:rFonts w:ascii="Arial" w:hAnsi="Arial" w:cs="Arial"/>
          <w:sz w:val="20"/>
        </w:rPr>
        <w:t xml:space="preserve"> den dagen høyet var slått av.</w:t>
      </w:r>
      <w:r w:rsidRPr="009D3F93">
        <w:rPr>
          <w:rFonts w:ascii="Arial" w:hAnsi="Arial" w:cs="Arial"/>
          <w:sz w:val="20"/>
        </w:rPr>
        <w:br/>
      </w:r>
    </w:p>
    <w:p w:rsidR="002C063D" w:rsidRPr="009D3F93" w:rsidRDefault="002C063D" w:rsidP="002C063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D3F93">
        <w:rPr>
          <w:rFonts w:ascii="Arial" w:hAnsi="Arial" w:cs="Arial"/>
          <w:sz w:val="20"/>
        </w:rPr>
        <w:t>I nyere tid har nordmenn fortsatt å spise grøt til nær sagt alle måltider. Grøten fikk navn etter hva slags ingred</w:t>
      </w:r>
      <w:r>
        <w:rPr>
          <w:rFonts w:ascii="Arial" w:hAnsi="Arial" w:cs="Arial"/>
          <w:sz w:val="20"/>
        </w:rPr>
        <w:t>ienser den ble laget av (byggme</w:t>
      </w:r>
      <w:r w:rsidRPr="009D3F93">
        <w:rPr>
          <w:rFonts w:ascii="Arial" w:hAnsi="Arial" w:cs="Arial"/>
          <w:sz w:val="20"/>
        </w:rPr>
        <w:t>lsgraut, fløtegrøt, rømmegrøt, melkegrøt, vassgraut og risengryn</w:t>
      </w:r>
      <w:r>
        <w:rPr>
          <w:rFonts w:ascii="Arial" w:hAnsi="Arial" w:cs="Arial"/>
          <w:sz w:val="20"/>
        </w:rPr>
        <w:t>sgrøt</w:t>
      </w:r>
      <w:r w:rsidRPr="009D3F93">
        <w:rPr>
          <w:rFonts w:ascii="Arial" w:hAnsi="Arial" w:cs="Arial"/>
          <w:sz w:val="20"/>
        </w:rPr>
        <w:t xml:space="preserve">), og til hvilke anledninger grøten ble spist (sendingsgrøt, olsokgrøt, </w:t>
      </w:r>
      <w:proofErr w:type="spellStart"/>
      <w:r w:rsidRPr="009D3F93">
        <w:rPr>
          <w:rFonts w:ascii="Arial" w:hAnsi="Arial" w:cs="Arial"/>
          <w:sz w:val="20"/>
        </w:rPr>
        <w:t>bufarsgrøt</w:t>
      </w:r>
      <w:proofErr w:type="spellEnd"/>
      <w:r w:rsidRPr="009D3F93">
        <w:rPr>
          <w:rFonts w:ascii="Arial" w:hAnsi="Arial" w:cs="Arial"/>
          <w:sz w:val="20"/>
        </w:rPr>
        <w:t xml:space="preserve">, </w:t>
      </w:r>
      <w:proofErr w:type="spellStart"/>
      <w:r w:rsidRPr="009D3F93">
        <w:rPr>
          <w:rFonts w:ascii="Arial" w:hAnsi="Arial" w:cs="Arial"/>
          <w:sz w:val="20"/>
        </w:rPr>
        <w:t>nedfarsgrøt</w:t>
      </w:r>
      <w:proofErr w:type="spellEnd"/>
      <w:r w:rsidRPr="009D3F93">
        <w:rPr>
          <w:rFonts w:ascii="Arial" w:hAnsi="Arial" w:cs="Arial"/>
          <w:sz w:val="20"/>
        </w:rPr>
        <w:t xml:space="preserve">, grøtleik, dugurdsgrøt, ottegrøt, kveldsgrøt, festgrøt, konfirmasjonsgrøt, </w:t>
      </w:r>
      <w:proofErr w:type="spellStart"/>
      <w:r w:rsidRPr="009D3F93">
        <w:rPr>
          <w:rFonts w:ascii="Arial" w:hAnsi="Arial" w:cs="Arial"/>
          <w:sz w:val="20"/>
        </w:rPr>
        <w:t>bruregrøt</w:t>
      </w:r>
      <w:proofErr w:type="spellEnd"/>
      <w:r w:rsidRPr="009D3F93">
        <w:rPr>
          <w:rFonts w:ascii="Arial" w:hAnsi="Arial" w:cs="Arial"/>
          <w:sz w:val="20"/>
        </w:rPr>
        <w:t xml:space="preserve">, gravølsgrøt og slåttegrøt). </w:t>
      </w:r>
      <w:r w:rsidRPr="009D3F93">
        <w:rPr>
          <w:rFonts w:ascii="Arial" w:hAnsi="Arial" w:cs="Arial"/>
          <w:sz w:val="20"/>
        </w:rPr>
        <w:br/>
      </w:r>
    </w:p>
    <w:p w:rsidR="002C063D" w:rsidRPr="00C93B6F" w:rsidRDefault="002C063D" w:rsidP="002C063D">
      <w:r w:rsidRPr="009D3F93">
        <w:rPr>
          <w:rFonts w:ascii="Arial" w:hAnsi="Arial" w:cs="Arial"/>
          <w:sz w:val="20"/>
        </w:rPr>
        <w:t xml:space="preserve">Historikeren Fredrik </w:t>
      </w:r>
      <w:proofErr w:type="spellStart"/>
      <w:r w:rsidRPr="009D3F93">
        <w:rPr>
          <w:rFonts w:ascii="Arial" w:hAnsi="Arial" w:cs="Arial"/>
          <w:sz w:val="20"/>
        </w:rPr>
        <w:t>Grøn</w:t>
      </w:r>
      <w:proofErr w:type="spellEnd"/>
      <w:r w:rsidRPr="009D3F93">
        <w:rPr>
          <w:rFonts w:ascii="Arial" w:hAnsi="Arial" w:cs="Arial"/>
          <w:sz w:val="20"/>
        </w:rPr>
        <w:t xml:space="preserve"> (1942) mener grøt bør betraktes som landets egentlige nasjonalret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z w:val="20"/>
        </w:rPr>
        <w:br/>
      </w:r>
    </w:p>
    <w:p w:rsidR="004A187E" w:rsidRDefault="004A187E"/>
    <w:sectPr w:rsidR="004A187E" w:rsidSect="002D32E4">
      <w:headerReference w:type="default" r:id="rId5"/>
      <w:headerReference w:type="first" r:id="rId6"/>
      <w:footerReference w:type="first" r:id="rId7"/>
      <w:pgSz w:w="11906" w:h="16838"/>
      <w:pgMar w:top="2693" w:right="1133" w:bottom="1440" w:left="1134" w:header="426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16" w:rsidRDefault="002C063D">
    <w:pPr>
      <w:pStyle w:val="Bunntekst"/>
      <w:tabs>
        <w:tab w:val="clear" w:pos="8306"/>
        <w:tab w:val="right" w:pos="8647"/>
      </w:tabs>
      <w:jc w:val="center"/>
      <w:rPr>
        <w:sz w:val="18"/>
      </w:rPr>
    </w:pPr>
    <w:r>
      <w:rPr>
        <w:sz w:val="18"/>
      </w:rPr>
      <w:t xml:space="preserve">Opplysningskontoret for Meieriprodukter (Melk.no) AS Postboks 1011 Sentrum, 0104 </w:t>
    </w:r>
    <w:proofErr w:type="gramStart"/>
    <w:r>
      <w:rPr>
        <w:sz w:val="18"/>
      </w:rPr>
      <w:t>Oslo  Besøksadresse</w:t>
    </w:r>
    <w:proofErr w:type="gramEnd"/>
    <w:r>
      <w:rPr>
        <w:sz w:val="18"/>
      </w:rPr>
      <w:t xml:space="preserve"> Borggata 1, oppgang A</w:t>
    </w:r>
  </w:p>
  <w:p w:rsidR="00043B16" w:rsidRDefault="002C063D">
    <w:pPr>
      <w:pStyle w:val="Bunntekst"/>
      <w:tabs>
        <w:tab w:val="clear" w:pos="8306"/>
        <w:tab w:val="right" w:pos="8647"/>
      </w:tabs>
      <w:jc w:val="center"/>
      <w:rPr>
        <w:sz w:val="18"/>
        <w:lang w:val="en-GB"/>
      </w:rPr>
    </w:pPr>
    <w:proofErr w:type="spellStart"/>
    <w:proofErr w:type="gramStart"/>
    <w:r>
      <w:rPr>
        <w:sz w:val="18"/>
        <w:lang w:val="en-GB"/>
      </w:rPr>
      <w:t>Tlf</w:t>
    </w:r>
    <w:proofErr w:type="spellEnd"/>
    <w:r>
      <w:rPr>
        <w:sz w:val="18"/>
        <w:lang w:val="en-GB"/>
      </w:rPr>
      <w:t xml:space="preserve">  23</w:t>
    </w:r>
    <w:proofErr w:type="gramEnd"/>
    <w:r>
      <w:rPr>
        <w:sz w:val="18"/>
        <w:lang w:val="en-GB"/>
      </w:rPr>
      <w:t xml:space="preserve"> 30 20 10  Fax 23 30 20 11  </w:t>
    </w:r>
    <w:hyperlink r:id="rId1" w:history="1">
      <w:r>
        <w:rPr>
          <w:rStyle w:val="Hyperkobling"/>
          <w:sz w:val="18"/>
          <w:lang w:val="en-GB"/>
        </w:rPr>
        <w:t>post@melk.no</w:t>
      </w:r>
    </w:hyperlink>
    <w:r>
      <w:rPr>
        <w:sz w:val="18"/>
        <w:lang w:val="en-GB"/>
      </w:rPr>
      <w:t xml:space="preserve">  </w:t>
    </w:r>
    <w:hyperlink r:id="rId2" w:history="1">
      <w:r>
        <w:rPr>
          <w:rStyle w:val="Hyperkobling"/>
          <w:sz w:val="18"/>
          <w:lang w:val="en-GB"/>
        </w:rPr>
        <w:t>www.melk.no</w:t>
      </w:r>
    </w:hyperlink>
    <w:r>
      <w:rPr>
        <w:sz w:val="18"/>
        <w:lang w:val="en-GB"/>
      </w:rPr>
      <w:t xml:space="preserve">  Org.nr. 985 591 326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16" w:rsidRDefault="002C063D">
    <w:pPr>
      <w:pStyle w:val="Topptekst"/>
      <w:jc w:val="center"/>
    </w:pPr>
    <w:r>
      <w:rPr>
        <w:noProof/>
      </w:rPr>
      <w:drawing>
        <wp:inline distT="0" distB="0" distL="0" distR="0">
          <wp:extent cx="2143125" cy="438150"/>
          <wp:effectExtent l="19050" t="0" r="9525" b="0"/>
          <wp:docPr id="1" name="Bilde 1" descr="logo_me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l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16" w:rsidRDefault="002C063D">
    <w:pPr>
      <w:pStyle w:val="Topptekst"/>
      <w:jc w:val="center"/>
    </w:pPr>
    <w:r>
      <w:rPr>
        <w:noProof/>
      </w:rPr>
      <w:drawing>
        <wp:inline distT="0" distB="0" distL="0" distR="0">
          <wp:extent cx="2143125" cy="438150"/>
          <wp:effectExtent l="19050" t="0" r="9525" b="0"/>
          <wp:docPr id="2" name="Bilde 2" descr="logo_me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l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3B16" w:rsidRDefault="002C063D">
    <w:pPr>
      <w:pStyle w:val="Topptekst"/>
    </w:pPr>
  </w:p>
  <w:p w:rsidR="00043B16" w:rsidRDefault="002C063D">
    <w:pPr>
      <w:pStyle w:val="Topptekst"/>
    </w:pPr>
  </w:p>
  <w:p w:rsidR="00043B16" w:rsidRDefault="002C063D">
    <w:pPr>
      <w:pStyle w:val="Topptekst"/>
    </w:pPr>
  </w:p>
  <w:p w:rsidR="00043B16" w:rsidRDefault="002C063D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754E9"/>
    <w:multiLevelType w:val="hybridMultilevel"/>
    <w:tmpl w:val="86B69E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063D"/>
    <w:rsid w:val="001F24F9"/>
    <w:rsid w:val="002C063D"/>
    <w:rsid w:val="00346A09"/>
    <w:rsid w:val="004A187E"/>
    <w:rsid w:val="007E5800"/>
    <w:rsid w:val="00E0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3D"/>
    <w:pPr>
      <w:spacing w:after="0" w:line="240" w:lineRule="auto"/>
    </w:pPr>
    <w:rPr>
      <w:rFonts w:ascii="Times New Roman" w:eastAsia="Times" w:hAnsi="Times New Roman" w:cs="Times New Roman"/>
      <w:color w:val="333333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C063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2C063D"/>
    <w:rPr>
      <w:rFonts w:ascii="Times New Roman" w:eastAsia="Times" w:hAnsi="Times New Roman" w:cs="Times New Roman"/>
      <w:color w:val="333333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2C063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2C063D"/>
    <w:rPr>
      <w:rFonts w:ascii="Times New Roman" w:eastAsia="Times" w:hAnsi="Times New Roman" w:cs="Times New Roman"/>
      <w:color w:val="333333"/>
      <w:sz w:val="24"/>
      <w:szCs w:val="20"/>
      <w:lang w:eastAsia="nb-NO"/>
    </w:rPr>
  </w:style>
  <w:style w:type="character" w:styleId="Hyperkobling">
    <w:name w:val="Hyperlink"/>
    <w:basedOn w:val="Standardskriftforavsnitt"/>
    <w:rsid w:val="002C063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06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063D"/>
    <w:rPr>
      <w:rFonts w:ascii="Tahoma" w:eastAsia="Times" w:hAnsi="Tahoma" w:cs="Tahoma"/>
      <w:color w:val="333333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k.no" TargetMode="External"/><Relationship Id="rId1" Type="http://schemas.openxmlformats.org/officeDocument/2006/relationships/hyperlink" Target="mailto:post@mel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Kine</cp:lastModifiedBy>
  <cp:revision>1</cp:revision>
  <dcterms:created xsi:type="dcterms:W3CDTF">2010-10-20T16:34:00Z</dcterms:created>
  <dcterms:modified xsi:type="dcterms:W3CDTF">2010-10-20T16:34:00Z</dcterms:modified>
</cp:coreProperties>
</file>