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A9A7C" w14:textId="77777777" w:rsidR="002F7E04" w:rsidRDefault="002F7E04" w:rsidP="00277D18">
      <w:pPr>
        <w:pStyle w:val="Ingetavstnd"/>
        <w:jc w:val="center"/>
        <w:rPr>
          <w:rFonts w:ascii="Calibri" w:hAnsi="Calibri"/>
          <w:b/>
          <w:color w:val="1F497D" w:themeColor="text2"/>
          <w:sz w:val="44"/>
          <w:szCs w:val="44"/>
          <w:lang w:val="sv-SE"/>
        </w:rPr>
      </w:pPr>
      <w:bookmarkStart w:id="0" w:name="_GoBack"/>
      <w:bookmarkEnd w:id="0"/>
      <w:r>
        <w:rPr>
          <w:rFonts w:ascii="TradeGothic" w:hAnsi="TradeGothic"/>
          <w:noProof/>
          <w:sz w:val="18"/>
          <w:szCs w:val="18"/>
          <w:lang w:val="sv-SE" w:eastAsia="sv-SE"/>
        </w:rPr>
        <w:drawing>
          <wp:anchor distT="0" distB="0" distL="114300" distR="114300" simplePos="0" relativeHeight="251659264" behindDoc="1" locked="0" layoutInCell="1" allowOverlap="1" wp14:anchorId="160FE7E9" wp14:editId="7B408752">
            <wp:simplePos x="0" y="0"/>
            <wp:positionH relativeFrom="column">
              <wp:posOffset>262255</wp:posOffset>
            </wp:positionH>
            <wp:positionV relativeFrom="paragraph">
              <wp:posOffset>507365</wp:posOffset>
            </wp:positionV>
            <wp:extent cx="4838700" cy="1433830"/>
            <wp:effectExtent l="0" t="0" r="0" b="0"/>
            <wp:wrapTight wrapText="bothSides">
              <wp:wrapPolygon edited="0">
                <wp:start x="0" y="0"/>
                <wp:lineTo x="0" y="574"/>
                <wp:lineTo x="1956" y="4592"/>
                <wp:lineTo x="4422" y="9183"/>
                <wp:lineTo x="7569" y="13775"/>
                <wp:lineTo x="4337" y="18367"/>
                <wp:lineTo x="2636" y="21236"/>
                <wp:lineTo x="21515" y="21236"/>
                <wp:lineTo x="21515" y="18367"/>
                <wp:lineTo x="20239" y="13775"/>
                <wp:lineTo x="19984" y="7748"/>
                <wp:lineTo x="18624" y="7174"/>
                <wp:lineTo x="10120" y="4592"/>
                <wp:lineTo x="25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O_housing_nordic_Logotype.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8700" cy="1433830"/>
                    </a:xfrm>
                    <a:prstGeom prst="rect">
                      <a:avLst/>
                    </a:prstGeom>
                  </pic:spPr>
                </pic:pic>
              </a:graphicData>
            </a:graphic>
            <wp14:sizeRelH relativeFrom="margin">
              <wp14:pctWidth>0</wp14:pctWidth>
            </wp14:sizeRelH>
            <wp14:sizeRelV relativeFrom="margin">
              <wp14:pctHeight>0</wp14:pctHeight>
            </wp14:sizeRelV>
          </wp:anchor>
        </w:drawing>
      </w:r>
    </w:p>
    <w:p w14:paraId="3E853F2B" w14:textId="77777777" w:rsidR="002F7E04" w:rsidRDefault="002F7E04" w:rsidP="00277D18">
      <w:pPr>
        <w:pStyle w:val="Ingetavstnd"/>
        <w:jc w:val="center"/>
        <w:rPr>
          <w:rFonts w:ascii="Calibri" w:hAnsi="Calibri"/>
          <w:b/>
          <w:color w:val="1F497D" w:themeColor="text2"/>
          <w:sz w:val="44"/>
          <w:szCs w:val="44"/>
          <w:lang w:val="sv-SE"/>
        </w:rPr>
      </w:pPr>
    </w:p>
    <w:p w14:paraId="18D53056" w14:textId="77777777" w:rsidR="002F7E04" w:rsidRDefault="002F7E04" w:rsidP="00277D18">
      <w:pPr>
        <w:pStyle w:val="Ingetavstnd"/>
        <w:jc w:val="center"/>
        <w:rPr>
          <w:rFonts w:ascii="Calibri" w:hAnsi="Calibri"/>
          <w:b/>
          <w:color w:val="1F497D" w:themeColor="text2"/>
          <w:sz w:val="44"/>
          <w:szCs w:val="44"/>
          <w:lang w:val="sv-SE"/>
        </w:rPr>
      </w:pPr>
    </w:p>
    <w:p w14:paraId="45AC134E" w14:textId="77777777" w:rsidR="002F7E04" w:rsidRDefault="002F7E04" w:rsidP="00277D18">
      <w:pPr>
        <w:pStyle w:val="Ingetavstnd"/>
        <w:jc w:val="center"/>
        <w:rPr>
          <w:rFonts w:ascii="Calibri" w:hAnsi="Calibri"/>
          <w:b/>
          <w:color w:val="1F497D" w:themeColor="text2"/>
          <w:sz w:val="44"/>
          <w:szCs w:val="44"/>
          <w:lang w:val="sv-SE"/>
        </w:rPr>
      </w:pPr>
    </w:p>
    <w:p w14:paraId="756D7CC9" w14:textId="77777777" w:rsidR="002F7E04" w:rsidRDefault="002F7E04" w:rsidP="00277D18">
      <w:pPr>
        <w:pStyle w:val="Ingetavstnd"/>
        <w:jc w:val="center"/>
        <w:rPr>
          <w:rFonts w:ascii="Calibri" w:hAnsi="Calibri"/>
          <w:b/>
          <w:color w:val="1F497D" w:themeColor="text2"/>
          <w:sz w:val="44"/>
          <w:szCs w:val="44"/>
          <w:lang w:val="sv-SE"/>
        </w:rPr>
      </w:pPr>
    </w:p>
    <w:p w14:paraId="045928FA" w14:textId="77777777" w:rsidR="002F7E04" w:rsidRDefault="002F7E04" w:rsidP="00277D18">
      <w:pPr>
        <w:pStyle w:val="Ingetavstnd"/>
        <w:jc w:val="center"/>
        <w:rPr>
          <w:rFonts w:ascii="Calibri" w:hAnsi="Calibri"/>
          <w:b/>
          <w:color w:val="1F497D" w:themeColor="text2"/>
          <w:sz w:val="44"/>
          <w:szCs w:val="44"/>
          <w:lang w:val="sv-SE"/>
        </w:rPr>
      </w:pPr>
    </w:p>
    <w:p w14:paraId="6B85BF55" w14:textId="77777777" w:rsidR="002F7E04" w:rsidRDefault="002F7E04" w:rsidP="00277D18">
      <w:pPr>
        <w:pStyle w:val="Ingetavstnd"/>
        <w:jc w:val="center"/>
        <w:rPr>
          <w:rFonts w:ascii="Calibri" w:hAnsi="Calibri"/>
          <w:b/>
          <w:color w:val="1F497D" w:themeColor="text2"/>
          <w:sz w:val="44"/>
          <w:szCs w:val="44"/>
          <w:lang w:val="sv-SE"/>
        </w:rPr>
      </w:pPr>
    </w:p>
    <w:p w14:paraId="050A08C8" w14:textId="77777777" w:rsidR="002F7E04" w:rsidRDefault="002F7E04" w:rsidP="002F7E04">
      <w:pPr>
        <w:spacing w:line="360" w:lineRule="auto"/>
        <w:jc w:val="center"/>
        <w:rPr>
          <w:rFonts w:cs="Arial"/>
          <w:b/>
          <w:bCs/>
          <w:kern w:val="32"/>
          <w:sz w:val="52"/>
          <w:szCs w:val="52"/>
        </w:rPr>
      </w:pPr>
    </w:p>
    <w:p w14:paraId="6CFF9F85" w14:textId="77777777" w:rsidR="002F7E04" w:rsidRPr="002F7E04" w:rsidRDefault="002F7E04" w:rsidP="002F7E04">
      <w:pPr>
        <w:spacing w:line="360" w:lineRule="auto"/>
        <w:jc w:val="center"/>
        <w:rPr>
          <w:rFonts w:asciiTheme="minorHAnsi" w:hAnsiTheme="minorHAnsi" w:cstheme="minorHAnsi"/>
          <w:b/>
          <w:bCs/>
          <w:kern w:val="32"/>
          <w:sz w:val="52"/>
          <w:szCs w:val="52"/>
        </w:rPr>
      </w:pPr>
      <w:r w:rsidRPr="002F7E04">
        <w:rPr>
          <w:rFonts w:asciiTheme="minorHAnsi" w:hAnsiTheme="minorHAnsi" w:cstheme="minorHAnsi"/>
          <w:b/>
          <w:bCs/>
          <w:kern w:val="32"/>
          <w:sz w:val="52"/>
          <w:szCs w:val="52"/>
        </w:rPr>
        <w:t>Landrapport från ISLAND</w:t>
      </w:r>
    </w:p>
    <w:p w14:paraId="25979A5E" w14:textId="77777777" w:rsidR="002F7E04" w:rsidRPr="002F7E04" w:rsidRDefault="002F7E04" w:rsidP="002F7E04">
      <w:pPr>
        <w:spacing w:line="360" w:lineRule="auto"/>
        <w:jc w:val="center"/>
        <w:rPr>
          <w:rFonts w:asciiTheme="minorHAnsi" w:hAnsiTheme="minorHAnsi" w:cstheme="minorHAnsi"/>
          <w:b/>
          <w:bCs/>
          <w:kern w:val="32"/>
          <w:sz w:val="52"/>
          <w:szCs w:val="52"/>
        </w:rPr>
      </w:pPr>
      <w:r w:rsidRPr="002F7E04">
        <w:rPr>
          <w:rFonts w:asciiTheme="minorHAnsi" w:hAnsiTheme="minorHAnsi" w:cstheme="minorHAnsi"/>
          <w:b/>
          <w:bCs/>
          <w:kern w:val="32"/>
          <w:sz w:val="52"/>
          <w:szCs w:val="52"/>
        </w:rPr>
        <w:t xml:space="preserve">NBO:s styrelsemöte </w:t>
      </w:r>
      <w:r w:rsidRPr="002F7E04">
        <w:rPr>
          <w:rFonts w:asciiTheme="minorHAnsi" w:hAnsiTheme="minorHAnsi" w:cstheme="minorHAnsi"/>
          <w:b/>
          <w:bCs/>
          <w:kern w:val="32"/>
          <w:sz w:val="52"/>
          <w:szCs w:val="52"/>
        </w:rPr>
        <w:br/>
        <w:t>20 maj 2011 i Reykjavik</w:t>
      </w:r>
    </w:p>
    <w:p w14:paraId="4409D4F3" w14:textId="77777777" w:rsidR="002F7E04" w:rsidRDefault="002F7E04" w:rsidP="00277D18">
      <w:pPr>
        <w:pStyle w:val="Ingetavstnd"/>
        <w:jc w:val="center"/>
        <w:rPr>
          <w:rFonts w:ascii="Calibri" w:hAnsi="Calibri"/>
          <w:b/>
          <w:color w:val="1F497D" w:themeColor="text2"/>
          <w:sz w:val="44"/>
          <w:szCs w:val="44"/>
          <w:lang w:val="sv-SE"/>
        </w:rPr>
      </w:pPr>
    </w:p>
    <w:p w14:paraId="483B4F16" w14:textId="77777777" w:rsidR="002F7E04" w:rsidRDefault="002F7E04" w:rsidP="00277D18">
      <w:pPr>
        <w:pStyle w:val="Ingetavstnd"/>
        <w:jc w:val="center"/>
        <w:rPr>
          <w:rFonts w:ascii="Calibri" w:hAnsi="Calibri"/>
          <w:b/>
          <w:color w:val="1F497D" w:themeColor="text2"/>
          <w:sz w:val="44"/>
          <w:szCs w:val="44"/>
          <w:lang w:val="sv-SE"/>
        </w:rPr>
      </w:pPr>
    </w:p>
    <w:p w14:paraId="2655CC8B" w14:textId="77777777" w:rsidR="002F7E04" w:rsidRDefault="002F7E04" w:rsidP="00277D18">
      <w:pPr>
        <w:pStyle w:val="Ingetavstnd"/>
        <w:jc w:val="center"/>
        <w:rPr>
          <w:rFonts w:ascii="Calibri" w:hAnsi="Calibri"/>
          <w:b/>
          <w:color w:val="1F497D" w:themeColor="text2"/>
          <w:sz w:val="44"/>
          <w:szCs w:val="44"/>
          <w:lang w:val="sv-SE"/>
        </w:rPr>
      </w:pPr>
    </w:p>
    <w:p w14:paraId="4494CA43" w14:textId="77777777" w:rsidR="002F7E04" w:rsidRDefault="002F7E04" w:rsidP="00277D18">
      <w:pPr>
        <w:pStyle w:val="Ingetavstnd"/>
        <w:jc w:val="center"/>
        <w:rPr>
          <w:rFonts w:ascii="Calibri" w:hAnsi="Calibri"/>
          <w:b/>
          <w:color w:val="1F497D" w:themeColor="text2"/>
          <w:sz w:val="44"/>
          <w:szCs w:val="44"/>
          <w:lang w:val="sv-SE"/>
        </w:rPr>
      </w:pPr>
    </w:p>
    <w:p w14:paraId="1B20370C" w14:textId="77777777" w:rsidR="002F7E04" w:rsidRDefault="002F7E04" w:rsidP="00277D18">
      <w:pPr>
        <w:pStyle w:val="Ingetavstnd"/>
        <w:jc w:val="center"/>
        <w:rPr>
          <w:rFonts w:ascii="Calibri" w:hAnsi="Calibri"/>
          <w:b/>
          <w:color w:val="1F497D" w:themeColor="text2"/>
          <w:sz w:val="44"/>
          <w:szCs w:val="44"/>
          <w:lang w:val="sv-SE"/>
        </w:rPr>
      </w:pPr>
    </w:p>
    <w:p w14:paraId="3DEC7E82" w14:textId="77777777" w:rsidR="002F7E04" w:rsidRDefault="002F7E04" w:rsidP="00277D18">
      <w:pPr>
        <w:pStyle w:val="Ingetavstnd"/>
        <w:jc w:val="center"/>
        <w:rPr>
          <w:rFonts w:ascii="Calibri" w:hAnsi="Calibri"/>
          <w:b/>
          <w:color w:val="1F497D" w:themeColor="text2"/>
          <w:sz w:val="44"/>
          <w:szCs w:val="44"/>
          <w:lang w:val="sv-SE"/>
        </w:rPr>
      </w:pPr>
      <w:r>
        <w:rPr>
          <w:rFonts w:ascii="TradeGothic" w:hAnsi="TradeGothic"/>
          <w:b/>
          <w:noProof/>
          <w:sz w:val="52"/>
          <w:szCs w:val="52"/>
          <w:lang w:val="sv-SE" w:eastAsia="sv-SE"/>
        </w:rPr>
        <mc:AlternateContent>
          <mc:Choice Requires="wps">
            <w:drawing>
              <wp:anchor distT="0" distB="0" distL="114300" distR="114300" simplePos="0" relativeHeight="251661312" behindDoc="1" locked="0" layoutInCell="1" allowOverlap="1" wp14:anchorId="75943F09" wp14:editId="53432BD6">
                <wp:simplePos x="0" y="0"/>
                <wp:positionH relativeFrom="column">
                  <wp:posOffset>3072130</wp:posOffset>
                </wp:positionH>
                <wp:positionV relativeFrom="paragraph">
                  <wp:posOffset>108585</wp:posOffset>
                </wp:positionV>
                <wp:extent cx="2762250" cy="2247900"/>
                <wp:effectExtent l="0" t="0" r="0" b="0"/>
                <wp:wrapTight wrapText="bothSides">
                  <wp:wrapPolygon edited="0">
                    <wp:start x="0" y="0"/>
                    <wp:lineTo x="0" y="21417"/>
                    <wp:lineTo x="21451" y="21417"/>
                    <wp:lineTo x="21451" y="0"/>
                    <wp:lineTo x="0" y="0"/>
                  </wp:wrapPolygon>
                </wp:wrapTight>
                <wp:docPr id="4" name="Textruta 2"/>
                <wp:cNvGraphicFramePr/>
                <a:graphic xmlns:a="http://schemas.openxmlformats.org/drawingml/2006/main">
                  <a:graphicData uri="http://schemas.microsoft.com/office/word/2010/wordprocessingShape">
                    <wps:wsp>
                      <wps:cNvSpPr txBox="1"/>
                      <wps:spPr>
                        <a:xfrm>
                          <a:off x="0" y="0"/>
                          <a:ext cx="2762250" cy="22479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EBE57" w14:textId="77777777" w:rsidR="002F7E04" w:rsidRPr="002F7E04" w:rsidRDefault="002F7E04" w:rsidP="002F7E04">
                            <w:pPr>
                              <w:pStyle w:val="Rubrik2"/>
                              <w:ind w:left="284" w:right="234"/>
                              <w:rPr>
                                <w:rFonts w:asciiTheme="minorHAnsi" w:hAnsiTheme="minorHAnsi" w:cstheme="minorHAnsi"/>
                                <w:b w:val="0"/>
                                <w:sz w:val="16"/>
                                <w:szCs w:val="16"/>
                              </w:rPr>
                            </w:pPr>
                            <w:proofErr w:type="spellStart"/>
                            <w:r w:rsidRPr="002F7E04">
                              <w:rPr>
                                <w:rFonts w:asciiTheme="minorHAnsi" w:hAnsiTheme="minorHAnsi" w:cstheme="minorHAnsi"/>
                              </w:rPr>
                              <w:t>Nyckeltal</w:t>
                            </w:r>
                            <w:proofErr w:type="spellEnd"/>
                            <w:r w:rsidRPr="002F7E04">
                              <w:rPr>
                                <w:rFonts w:asciiTheme="minorHAnsi" w:hAnsiTheme="minorHAnsi" w:cstheme="minorHAnsi"/>
                              </w:rPr>
                              <w:t xml:space="preserve"> för ISLAND </w:t>
                            </w:r>
                            <w:proofErr w:type="spellStart"/>
                            <w:r w:rsidRPr="002F7E04">
                              <w:rPr>
                                <w:rFonts w:asciiTheme="minorHAnsi" w:hAnsiTheme="minorHAnsi" w:cstheme="minorHAnsi"/>
                              </w:rPr>
                              <w:t>maj</w:t>
                            </w:r>
                            <w:proofErr w:type="spellEnd"/>
                            <w:r w:rsidRPr="002F7E04">
                              <w:rPr>
                                <w:rFonts w:asciiTheme="minorHAnsi" w:hAnsiTheme="minorHAnsi" w:cstheme="minorHAnsi"/>
                              </w:rPr>
                              <w:t xml:space="preserve"> 2011</w:t>
                            </w:r>
                            <w:r w:rsidRPr="002F7E04">
                              <w:rPr>
                                <w:rFonts w:asciiTheme="minorHAnsi" w:hAnsiTheme="minorHAnsi" w:cstheme="minorHAnsi"/>
                              </w:rPr>
                              <w:br/>
                            </w:r>
                          </w:p>
                          <w:p w14:paraId="69A8F787" w14:textId="77777777" w:rsidR="002F7E04" w:rsidRPr="002F7E04" w:rsidRDefault="002F7E04" w:rsidP="002F7E04">
                            <w:pPr>
                              <w:tabs>
                                <w:tab w:val="right" w:pos="3828"/>
                              </w:tabs>
                              <w:ind w:left="284" w:right="-203"/>
                              <w:rPr>
                                <w:rFonts w:asciiTheme="minorHAnsi" w:hAnsiTheme="minorHAnsi" w:cstheme="minorHAnsi"/>
                              </w:rPr>
                            </w:pPr>
                            <w:r w:rsidRPr="002F7E04">
                              <w:rPr>
                                <w:rFonts w:asciiTheme="minorHAnsi" w:hAnsiTheme="minorHAnsi" w:cstheme="minorHAnsi"/>
                              </w:rPr>
                              <w:t xml:space="preserve">Förväntad BNP-utveckling </w:t>
                            </w:r>
                            <w:r w:rsidRPr="002F7E04">
                              <w:rPr>
                                <w:rFonts w:asciiTheme="minorHAnsi" w:hAnsiTheme="minorHAnsi" w:cstheme="minorHAnsi"/>
                              </w:rPr>
                              <w:tab/>
                              <w:t>2,3 %</w:t>
                            </w:r>
                          </w:p>
                          <w:p w14:paraId="122CF3DA" w14:textId="77777777" w:rsidR="002F7E04" w:rsidRPr="002F7E04" w:rsidRDefault="002F7E04" w:rsidP="002F7E04">
                            <w:pPr>
                              <w:tabs>
                                <w:tab w:val="right" w:pos="3828"/>
                              </w:tabs>
                              <w:ind w:left="284" w:right="-203"/>
                              <w:rPr>
                                <w:rFonts w:asciiTheme="minorHAnsi" w:hAnsiTheme="minorHAnsi" w:cstheme="minorHAnsi"/>
                              </w:rPr>
                            </w:pPr>
                            <w:r w:rsidRPr="002F7E04">
                              <w:rPr>
                                <w:rFonts w:asciiTheme="minorHAnsi" w:hAnsiTheme="minorHAnsi" w:cstheme="minorHAnsi"/>
                              </w:rPr>
                              <w:t>Inflationstakt</w:t>
                            </w:r>
                            <w:r w:rsidRPr="002F7E04">
                              <w:rPr>
                                <w:rFonts w:asciiTheme="minorHAnsi" w:hAnsiTheme="minorHAnsi" w:cstheme="minorHAnsi"/>
                              </w:rPr>
                              <w:tab/>
                              <w:t>2,6 %</w:t>
                            </w:r>
                          </w:p>
                          <w:p w14:paraId="6193A4B2" w14:textId="77777777" w:rsidR="002F7E04" w:rsidRPr="002F7E04" w:rsidRDefault="002F7E04" w:rsidP="002F7E04">
                            <w:pPr>
                              <w:tabs>
                                <w:tab w:val="right" w:pos="3828"/>
                              </w:tabs>
                              <w:ind w:left="284" w:right="-203"/>
                              <w:rPr>
                                <w:rFonts w:asciiTheme="minorHAnsi" w:hAnsiTheme="minorHAnsi" w:cstheme="minorHAnsi"/>
                              </w:rPr>
                            </w:pPr>
                            <w:r w:rsidRPr="002F7E04">
                              <w:rPr>
                                <w:rFonts w:asciiTheme="minorHAnsi" w:hAnsiTheme="minorHAnsi" w:cstheme="minorHAnsi"/>
                              </w:rPr>
                              <w:t>Arbetslöshet</w:t>
                            </w:r>
                            <w:r w:rsidRPr="002F7E04">
                              <w:rPr>
                                <w:rFonts w:asciiTheme="minorHAnsi" w:hAnsiTheme="minorHAnsi" w:cstheme="minorHAnsi"/>
                              </w:rPr>
                              <w:tab/>
                              <w:t>7,3 %</w:t>
                            </w:r>
                          </w:p>
                          <w:p w14:paraId="78222AD6" w14:textId="77777777" w:rsidR="002F7E04" w:rsidRPr="002F7E04" w:rsidRDefault="002F7E04" w:rsidP="002F7E04">
                            <w:pPr>
                              <w:pStyle w:val="Rubrik3"/>
                              <w:tabs>
                                <w:tab w:val="right" w:pos="3828"/>
                              </w:tabs>
                              <w:ind w:left="284" w:right="-203"/>
                              <w:rPr>
                                <w:rFonts w:asciiTheme="minorHAnsi" w:hAnsiTheme="minorHAnsi" w:cstheme="minorHAnsi"/>
                              </w:rPr>
                            </w:pPr>
                            <w:r w:rsidRPr="002F7E04">
                              <w:rPr>
                                <w:rFonts w:asciiTheme="minorHAnsi" w:hAnsiTheme="minorHAnsi" w:cstheme="minorHAnsi"/>
                              </w:rPr>
                              <w:t>Bostadsbyggande – prognos för påbörjande</w:t>
                            </w:r>
                          </w:p>
                          <w:p w14:paraId="51D23C57" w14:textId="77777777" w:rsidR="002F7E04" w:rsidRPr="002F7E04" w:rsidRDefault="002F7E04" w:rsidP="002F7E04">
                            <w:pPr>
                              <w:tabs>
                                <w:tab w:val="right" w:pos="3828"/>
                              </w:tabs>
                              <w:ind w:left="284" w:right="-203"/>
                              <w:rPr>
                                <w:rFonts w:asciiTheme="minorHAnsi" w:hAnsiTheme="minorHAnsi" w:cstheme="minorHAnsi"/>
                              </w:rPr>
                            </w:pPr>
                            <w:r w:rsidRPr="002F7E04">
                              <w:rPr>
                                <w:rFonts w:asciiTheme="minorHAnsi" w:hAnsiTheme="minorHAnsi" w:cstheme="minorHAnsi"/>
                              </w:rPr>
                              <w:t>Antal bostäder detta år</w:t>
                            </w:r>
                            <w:r w:rsidRPr="002F7E04">
                              <w:rPr>
                                <w:rFonts w:asciiTheme="minorHAnsi" w:hAnsiTheme="minorHAnsi" w:cstheme="minorHAnsi"/>
                              </w:rPr>
                              <w:tab/>
                              <w:t>400</w:t>
                            </w:r>
                            <w:r w:rsidRPr="002F7E04">
                              <w:rPr>
                                <w:rFonts w:asciiTheme="minorHAnsi" w:hAnsiTheme="minorHAnsi" w:cstheme="minorHAnsi"/>
                              </w:rPr>
                              <w:tab/>
                            </w:r>
                          </w:p>
                          <w:p w14:paraId="0961C554" w14:textId="77777777" w:rsidR="002F7E04" w:rsidRPr="002F7E04" w:rsidRDefault="002F7E04" w:rsidP="002F7E04">
                            <w:pPr>
                              <w:tabs>
                                <w:tab w:val="right" w:pos="3828"/>
                              </w:tabs>
                              <w:ind w:left="284" w:right="-203"/>
                              <w:rPr>
                                <w:rFonts w:asciiTheme="minorHAnsi" w:hAnsiTheme="minorHAnsi" w:cstheme="minorHAnsi"/>
                              </w:rPr>
                            </w:pPr>
                            <w:r w:rsidRPr="002F7E04">
                              <w:rPr>
                                <w:rFonts w:asciiTheme="minorHAnsi" w:hAnsiTheme="minorHAnsi" w:cstheme="minorHAnsi"/>
                              </w:rPr>
                              <w:t>Antal bostäder nästa år</w:t>
                            </w:r>
                            <w:r w:rsidRPr="002F7E04">
                              <w:rPr>
                                <w:rFonts w:asciiTheme="minorHAnsi" w:hAnsiTheme="minorHAnsi" w:cstheme="minorHAnsi"/>
                              </w:rPr>
                              <w:tab/>
                              <w:t>600</w:t>
                            </w:r>
                          </w:p>
                          <w:p w14:paraId="06DBD454" w14:textId="77777777" w:rsidR="002F7E04" w:rsidRDefault="002F7E04" w:rsidP="002F7E04">
                            <w:pPr>
                              <w:spacing w:line="276" w:lineRule="auto"/>
                              <w:ind w:left="284" w:right="2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41.9pt;margin-top:8.55pt;width:217.5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" fillcolor="#eeece1 [3214]" stroked="f" strokeweight=".5pt">
                <v:textbox>
                  <w:txbxContent>
                    <w:p w:rsidR="002F7E04" w:rsidRPr="002F7E04" w:rsidRDefault="002F7E04" w:rsidP="002F7E04">
                      <w:pPr>
                        <w:pStyle w:val="Heading2"/>
                        <w:ind w:left="284" w:right="234"/>
                        <w:rPr>
                          <w:rFonts w:asciiTheme="minorHAnsi" w:hAnsiTheme="minorHAnsi" w:cstheme="minorHAnsi"/>
                          <w:b w:val="0"/>
                          <w:sz w:val="16"/>
                          <w:szCs w:val="16"/>
                        </w:rPr>
                      </w:pPr>
                      <w:proofErr w:type="spellStart"/>
                      <w:r w:rsidRPr="002F7E04">
                        <w:rPr>
                          <w:rFonts w:asciiTheme="minorHAnsi" w:hAnsiTheme="minorHAnsi" w:cstheme="minorHAnsi"/>
                        </w:rPr>
                        <w:t>Nyckeltal</w:t>
                      </w:r>
                      <w:proofErr w:type="spellEnd"/>
                      <w:r w:rsidRPr="002F7E04">
                        <w:rPr>
                          <w:rFonts w:asciiTheme="minorHAnsi" w:hAnsiTheme="minorHAnsi" w:cstheme="minorHAnsi"/>
                        </w:rPr>
                        <w:t xml:space="preserve"> </w:t>
                      </w:r>
                      <w:proofErr w:type="spellStart"/>
                      <w:r w:rsidRPr="002F7E04">
                        <w:rPr>
                          <w:rFonts w:asciiTheme="minorHAnsi" w:hAnsiTheme="minorHAnsi" w:cstheme="minorHAnsi"/>
                        </w:rPr>
                        <w:t>för</w:t>
                      </w:r>
                      <w:proofErr w:type="spellEnd"/>
                      <w:r w:rsidRPr="002F7E04">
                        <w:rPr>
                          <w:rFonts w:asciiTheme="minorHAnsi" w:hAnsiTheme="minorHAnsi" w:cstheme="minorHAnsi"/>
                        </w:rPr>
                        <w:t xml:space="preserve"> ISLAND </w:t>
                      </w:r>
                      <w:proofErr w:type="spellStart"/>
                      <w:r w:rsidRPr="002F7E04">
                        <w:rPr>
                          <w:rFonts w:asciiTheme="minorHAnsi" w:hAnsiTheme="minorHAnsi" w:cstheme="minorHAnsi"/>
                        </w:rPr>
                        <w:t>maj</w:t>
                      </w:r>
                      <w:proofErr w:type="spellEnd"/>
                      <w:r w:rsidRPr="002F7E04">
                        <w:rPr>
                          <w:rFonts w:asciiTheme="minorHAnsi" w:hAnsiTheme="minorHAnsi" w:cstheme="minorHAnsi"/>
                        </w:rPr>
                        <w:t xml:space="preserve"> 2011</w:t>
                      </w:r>
                      <w:r w:rsidRPr="002F7E04">
                        <w:rPr>
                          <w:rFonts w:asciiTheme="minorHAnsi" w:hAnsiTheme="minorHAnsi" w:cstheme="minorHAnsi"/>
                        </w:rPr>
                        <w:br/>
                      </w:r>
                    </w:p>
                    <w:p w:rsidR="002F7E04" w:rsidRPr="002F7E04" w:rsidRDefault="002F7E04" w:rsidP="002F7E04">
                      <w:pPr>
                        <w:tabs>
                          <w:tab w:val="right" w:pos="3828"/>
                        </w:tabs>
                        <w:ind w:left="284" w:right="-203"/>
                        <w:rPr>
                          <w:rFonts w:asciiTheme="minorHAnsi" w:hAnsiTheme="minorHAnsi" w:cstheme="minorHAnsi"/>
                        </w:rPr>
                      </w:pPr>
                      <w:proofErr w:type="spellStart"/>
                      <w:r w:rsidRPr="002F7E04">
                        <w:rPr>
                          <w:rFonts w:asciiTheme="minorHAnsi" w:hAnsiTheme="minorHAnsi" w:cstheme="minorHAnsi"/>
                        </w:rPr>
                        <w:t>Förv</w:t>
                      </w:r>
                      <w:proofErr w:type="spellEnd"/>
                      <w:r w:rsidRPr="002F7E04">
                        <w:rPr>
                          <w:rFonts w:asciiTheme="minorHAnsi" w:hAnsiTheme="minorHAnsi" w:cstheme="minorHAnsi"/>
                        </w:rPr>
                        <w:t>äntad BNP-</w:t>
                      </w:r>
                      <w:proofErr w:type="spellStart"/>
                      <w:r w:rsidRPr="002F7E04">
                        <w:rPr>
                          <w:rFonts w:asciiTheme="minorHAnsi" w:hAnsiTheme="minorHAnsi" w:cstheme="minorHAnsi"/>
                        </w:rPr>
                        <w:t>utveckling</w:t>
                      </w:r>
                      <w:proofErr w:type="spellEnd"/>
                      <w:r w:rsidRPr="002F7E04">
                        <w:rPr>
                          <w:rFonts w:asciiTheme="minorHAnsi" w:hAnsiTheme="minorHAnsi" w:cstheme="minorHAnsi"/>
                        </w:rPr>
                        <w:t xml:space="preserve"> </w:t>
                      </w:r>
                      <w:r w:rsidRPr="002F7E04">
                        <w:rPr>
                          <w:rFonts w:asciiTheme="minorHAnsi" w:hAnsiTheme="minorHAnsi" w:cstheme="minorHAnsi"/>
                        </w:rPr>
                        <w:tab/>
                        <w:t>2,3 %</w:t>
                      </w:r>
                    </w:p>
                    <w:p w:rsidR="002F7E04" w:rsidRPr="002F7E04" w:rsidRDefault="002F7E04" w:rsidP="002F7E04">
                      <w:pPr>
                        <w:tabs>
                          <w:tab w:val="right" w:pos="3828"/>
                        </w:tabs>
                        <w:ind w:left="284" w:right="-203"/>
                        <w:rPr>
                          <w:rFonts w:asciiTheme="minorHAnsi" w:hAnsiTheme="minorHAnsi" w:cstheme="minorHAnsi"/>
                        </w:rPr>
                      </w:pPr>
                      <w:proofErr w:type="spellStart"/>
                      <w:r w:rsidRPr="002F7E04">
                        <w:rPr>
                          <w:rFonts w:asciiTheme="minorHAnsi" w:hAnsiTheme="minorHAnsi" w:cstheme="minorHAnsi"/>
                        </w:rPr>
                        <w:t>Inflationstakt</w:t>
                      </w:r>
                      <w:proofErr w:type="spellEnd"/>
                      <w:r w:rsidRPr="002F7E04">
                        <w:rPr>
                          <w:rFonts w:asciiTheme="minorHAnsi" w:hAnsiTheme="minorHAnsi" w:cstheme="minorHAnsi"/>
                        </w:rPr>
                        <w:tab/>
                        <w:t>2,6 %</w:t>
                      </w:r>
                    </w:p>
                    <w:p w:rsidR="002F7E04" w:rsidRPr="002F7E04" w:rsidRDefault="002F7E04" w:rsidP="002F7E04">
                      <w:pPr>
                        <w:tabs>
                          <w:tab w:val="right" w:pos="3828"/>
                        </w:tabs>
                        <w:ind w:left="284" w:right="-203"/>
                        <w:rPr>
                          <w:rFonts w:asciiTheme="minorHAnsi" w:hAnsiTheme="minorHAnsi" w:cstheme="minorHAnsi"/>
                        </w:rPr>
                      </w:pPr>
                      <w:proofErr w:type="spellStart"/>
                      <w:r w:rsidRPr="002F7E04">
                        <w:rPr>
                          <w:rFonts w:asciiTheme="minorHAnsi" w:hAnsiTheme="minorHAnsi" w:cstheme="minorHAnsi"/>
                        </w:rPr>
                        <w:t>Arbetslöshet</w:t>
                      </w:r>
                      <w:proofErr w:type="spellEnd"/>
                      <w:r w:rsidRPr="002F7E04">
                        <w:rPr>
                          <w:rFonts w:asciiTheme="minorHAnsi" w:hAnsiTheme="minorHAnsi" w:cstheme="minorHAnsi"/>
                        </w:rPr>
                        <w:tab/>
                        <w:t>7,3 %</w:t>
                      </w:r>
                    </w:p>
                    <w:p w:rsidR="002F7E04" w:rsidRPr="002F7E04" w:rsidRDefault="002F7E04" w:rsidP="002F7E04">
                      <w:pPr>
                        <w:pStyle w:val="Heading3"/>
                        <w:tabs>
                          <w:tab w:val="right" w:pos="3828"/>
                        </w:tabs>
                        <w:ind w:left="284" w:right="-203"/>
                        <w:rPr>
                          <w:rFonts w:asciiTheme="minorHAnsi" w:hAnsiTheme="minorHAnsi" w:cstheme="minorHAnsi"/>
                        </w:rPr>
                      </w:pPr>
                      <w:proofErr w:type="spellStart"/>
                      <w:r w:rsidRPr="002F7E04">
                        <w:rPr>
                          <w:rFonts w:asciiTheme="minorHAnsi" w:hAnsiTheme="minorHAnsi" w:cstheme="minorHAnsi"/>
                        </w:rPr>
                        <w:t>Bostadsbyggande</w:t>
                      </w:r>
                      <w:proofErr w:type="spellEnd"/>
                      <w:r w:rsidRPr="002F7E04">
                        <w:rPr>
                          <w:rFonts w:asciiTheme="minorHAnsi" w:hAnsiTheme="minorHAnsi" w:cstheme="minorHAnsi"/>
                        </w:rPr>
                        <w:t xml:space="preserve"> – </w:t>
                      </w:r>
                      <w:proofErr w:type="spellStart"/>
                      <w:r w:rsidRPr="002F7E04">
                        <w:rPr>
                          <w:rFonts w:asciiTheme="minorHAnsi" w:hAnsiTheme="minorHAnsi" w:cstheme="minorHAnsi"/>
                        </w:rPr>
                        <w:t>prognos</w:t>
                      </w:r>
                      <w:proofErr w:type="spellEnd"/>
                      <w:r w:rsidRPr="002F7E04">
                        <w:rPr>
                          <w:rFonts w:asciiTheme="minorHAnsi" w:hAnsiTheme="minorHAnsi" w:cstheme="minorHAnsi"/>
                        </w:rPr>
                        <w:t xml:space="preserve"> för på</w:t>
                      </w:r>
                      <w:proofErr w:type="spellStart"/>
                      <w:r w:rsidRPr="002F7E04">
                        <w:rPr>
                          <w:rFonts w:asciiTheme="minorHAnsi" w:hAnsiTheme="minorHAnsi" w:cstheme="minorHAnsi"/>
                        </w:rPr>
                        <w:t>börjande</w:t>
                      </w:r>
                      <w:proofErr w:type="spellEnd"/>
                    </w:p>
                    <w:p w:rsidR="002F7E04" w:rsidRPr="002F7E04" w:rsidRDefault="002F7E04" w:rsidP="002F7E04">
                      <w:pPr>
                        <w:tabs>
                          <w:tab w:val="right" w:pos="3828"/>
                        </w:tabs>
                        <w:ind w:left="284" w:right="-203"/>
                        <w:rPr>
                          <w:rFonts w:asciiTheme="minorHAnsi" w:hAnsiTheme="minorHAnsi" w:cstheme="minorHAnsi"/>
                        </w:rPr>
                      </w:pPr>
                      <w:proofErr w:type="spellStart"/>
                      <w:r w:rsidRPr="002F7E04">
                        <w:rPr>
                          <w:rFonts w:asciiTheme="minorHAnsi" w:hAnsiTheme="minorHAnsi" w:cstheme="minorHAnsi"/>
                        </w:rPr>
                        <w:t>Antal</w:t>
                      </w:r>
                      <w:proofErr w:type="spellEnd"/>
                      <w:r w:rsidRPr="002F7E04">
                        <w:rPr>
                          <w:rFonts w:asciiTheme="minorHAnsi" w:hAnsiTheme="minorHAnsi" w:cstheme="minorHAnsi"/>
                        </w:rPr>
                        <w:t xml:space="preserve"> </w:t>
                      </w:r>
                      <w:proofErr w:type="spellStart"/>
                      <w:r w:rsidRPr="002F7E04">
                        <w:rPr>
                          <w:rFonts w:asciiTheme="minorHAnsi" w:hAnsiTheme="minorHAnsi" w:cstheme="minorHAnsi"/>
                        </w:rPr>
                        <w:t>bost</w:t>
                      </w:r>
                      <w:proofErr w:type="spellEnd"/>
                      <w:r w:rsidRPr="002F7E04">
                        <w:rPr>
                          <w:rFonts w:asciiTheme="minorHAnsi" w:hAnsiTheme="minorHAnsi" w:cstheme="minorHAnsi"/>
                        </w:rPr>
                        <w:t>äder detta år</w:t>
                      </w:r>
                      <w:r w:rsidRPr="002F7E04">
                        <w:rPr>
                          <w:rFonts w:asciiTheme="minorHAnsi" w:hAnsiTheme="minorHAnsi" w:cstheme="minorHAnsi"/>
                        </w:rPr>
                        <w:tab/>
                        <w:t>400</w:t>
                      </w:r>
                      <w:r w:rsidRPr="002F7E04">
                        <w:rPr>
                          <w:rFonts w:asciiTheme="minorHAnsi" w:hAnsiTheme="minorHAnsi" w:cstheme="minorHAnsi"/>
                        </w:rPr>
                        <w:tab/>
                      </w:r>
                    </w:p>
                    <w:p w:rsidR="002F7E04" w:rsidRPr="002F7E04" w:rsidRDefault="002F7E04" w:rsidP="002F7E04">
                      <w:pPr>
                        <w:tabs>
                          <w:tab w:val="right" w:pos="3828"/>
                        </w:tabs>
                        <w:ind w:left="284" w:right="-203"/>
                        <w:rPr>
                          <w:rFonts w:asciiTheme="minorHAnsi" w:hAnsiTheme="minorHAnsi" w:cstheme="minorHAnsi"/>
                        </w:rPr>
                      </w:pPr>
                      <w:proofErr w:type="spellStart"/>
                      <w:r w:rsidRPr="002F7E04">
                        <w:rPr>
                          <w:rFonts w:asciiTheme="minorHAnsi" w:hAnsiTheme="minorHAnsi" w:cstheme="minorHAnsi"/>
                        </w:rPr>
                        <w:t>Antal</w:t>
                      </w:r>
                      <w:proofErr w:type="spellEnd"/>
                      <w:r w:rsidRPr="002F7E04">
                        <w:rPr>
                          <w:rFonts w:asciiTheme="minorHAnsi" w:hAnsiTheme="minorHAnsi" w:cstheme="minorHAnsi"/>
                        </w:rPr>
                        <w:t xml:space="preserve"> </w:t>
                      </w:r>
                      <w:proofErr w:type="spellStart"/>
                      <w:r w:rsidRPr="002F7E04">
                        <w:rPr>
                          <w:rFonts w:asciiTheme="minorHAnsi" w:hAnsiTheme="minorHAnsi" w:cstheme="minorHAnsi"/>
                        </w:rPr>
                        <w:t>bost</w:t>
                      </w:r>
                      <w:proofErr w:type="spellEnd"/>
                      <w:r w:rsidRPr="002F7E04">
                        <w:rPr>
                          <w:rFonts w:asciiTheme="minorHAnsi" w:hAnsiTheme="minorHAnsi" w:cstheme="minorHAnsi"/>
                        </w:rPr>
                        <w:t>äder nä</w:t>
                      </w:r>
                      <w:proofErr w:type="spellStart"/>
                      <w:r w:rsidRPr="002F7E04">
                        <w:rPr>
                          <w:rFonts w:asciiTheme="minorHAnsi" w:hAnsiTheme="minorHAnsi" w:cstheme="minorHAnsi"/>
                        </w:rPr>
                        <w:t>sta</w:t>
                      </w:r>
                      <w:proofErr w:type="spellEnd"/>
                      <w:r w:rsidRPr="002F7E04">
                        <w:rPr>
                          <w:rFonts w:asciiTheme="minorHAnsi" w:hAnsiTheme="minorHAnsi" w:cstheme="minorHAnsi"/>
                        </w:rPr>
                        <w:t xml:space="preserve"> år</w:t>
                      </w:r>
                      <w:r w:rsidRPr="002F7E04">
                        <w:rPr>
                          <w:rFonts w:asciiTheme="minorHAnsi" w:hAnsiTheme="minorHAnsi" w:cstheme="minorHAnsi"/>
                        </w:rPr>
                        <w:tab/>
                        <w:t>600</w:t>
                      </w:r>
                    </w:p>
                    <w:p w:rsidR="002F7E04" w:rsidRDefault="002F7E04" w:rsidP="002F7E04">
                      <w:pPr>
                        <w:spacing w:line="276" w:lineRule="auto"/>
                        <w:ind w:left="284" w:right="241"/>
                      </w:pPr>
                    </w:p>
                  </w:txbxContent>
                </v:textbox>
                <w10:wrap type="tight"/>
              </v:shape>
            </w:pict>
          </mc:Fallback>
        </mc:AlternateContent>
      </w:r>
    </w:p>
    <w:p w14:paraId="34BE0F14" w14:textId="77777777" w:rsidR="002F7E04" w:rsidRDefault="002F7E04" w:rsidP="00277D18">
      <w:pPr>
        <w:pStyle w:val="Ingetavstnd"/>
        <w:jc w:val="center"/>
        <w:rPr>
          <w:rFonts w:ascii="Calibri" w:hAnsi="Calibri"/>
          <w:b/>
          <w:color w:val="1F497D" w:themeColor="text2"/>
          <w:sz w:val="44"/>
          <w:szCs w:val="44"/>
          <w:lang w:val="sv-SE"/>
        </w:rPr>
      </w:pPr>
    </w:p>
    <w:p w14:paraId="7A554189" w14:textId="77777777" w:rsidR="002F7E04" w:rsidRDefault="002F7E04" w:rsidP="00277D18">
      <w:pPr>
        <w:pStyle w:val="Ingetavstnd"/>
        <w:jc w:val="center"/>
        <w:rPr>
          <w:rFonts w:ascii="Calibri" w:hAnsi="Calibri"/>
          <w:b/>
          <w:color w:val="1F497D" w:themeColor="text2"/>
          <w:sz w:val="44"/>
          <w:szCs w:val="44"/>
          <w:lang w:val="sv-SE"/>
        </w:rPr>
      </w:pPr>
    </w:p>
    <w:p w14:paraId="33C02BB7" w14:textId="77777777" w:rsidR="002F7E04" w:rsidRDefault="002F7E04" w:rsidP="00277D18">
      <w:pPr>
        <w:pStyle w:val="Ingetavstnd"/>
        <w:jc w:val="center"/>
        <w:rPr>
          <w:rFonts w:ascii="Calibri" w:hAnsi="Calibri"/>
          <w:b/>
          <w:color w:val="1F497D" w:themeColor="text2"/>
          <w:sz w:val="44"/>
          <w:szCs w:val="44"/>
          <w:lang w:val="sv-SE"/>
        </w:rPr>
      </w:pPr>
    </w:p>
    <w:p w14:paraId="6E59EA90" w14:textId="77777777" w:rsidR="002F7E04" w:rsidRDefault="002F7E04" w:rsidP="00277D18">
      <w:pPr>
        <w:pStyle w:val="Ingetavstnd"/>
        <w:jc w:val="center"/>
        <w:rPr>
          <w:rFonts w:ascii="Calibri" w:hAnsi="Calibri"/>
          <w:b/>
          <w:color w:val="1F497D" w:themeColor="text2"/>
          <w:sz w:val="44"/>
          <w:szCs w:val="44"/>
          <w:lang w:val="sv-SE"/>
        </w:rPr>
      </w:pPr>
    </w:p>
    <w:p w14:paraId="0A888369" w14:textId="77777777" w:rsidR="002F7E04" w:rsidRDefault="002F7E04" w:rsidP="00277D18">
      <w:pPr>
        <w:pStyle w:val="Ingetavstnd"/>
        <w:jc w:val="center"/>
        <w:rPr>
          <w:rFonts w:ascii="Calibri" w:hAnsi="Calibri"/>
          <w:b/>
          <w:color w:val="1F497D" w:themeColor="text2"/>
          <w:sz w:val="44"/>
          <w:szCs w:val="44"/>
          <w:lang w:val="sv-SE"/>
        </w:rPr>
      </w:pPr>
    </w:p>
    <w:p w14:paraId="3226189B" w14:textId="77777777" w:rsidR="002F7E04" w:rsidRDefault="002F7E04" w:rsidP="00277D18">
      <w:pPr>
        <w:pStyle w:val="Ingetavstnd"/>
        <w:jc w:val="center"/>
        <w:rPr>
          <w:rFonts w:ascii="Calibri" w:hAnsi="Calibri"/>
          <w:b/>
          <w:color w:val="1F497D" w:themeColor="text2"/>
          <w:sz w:val="44"/>
          <w:szCs w:val="44"/>
          <w:lang w:val="sv-SE"/>
        </w:rPr>
      </w:pPr>
    </w:p>
    <w:p w14:paraId="7A8AB464" w14:textId="77777777" w:rsidR="00277D18" w:rsidRPr="00E03E40" w:rsidRDefault="00277D18" w:rsidP="002F7E04">
      <w:pPr>
        <w:pStyle w:val="Ingetavstnd"/>
        <w:jc w:val="center"/>
        <w:rPr>
          <w:rFonts w:ascii="Calibri" w:hAnsi="Calibri"/>
          <w:b/>
          <w:color w:val="1F497D" w:themeColor="text2"/>
          <w:sz w:val="44"/>
          <w:szCs w:val="44"/>
          <w:lang w:val="sv-SE"/>
        </w:rPr>
      </w:pPr>
      <w:r w:rsidRPr="00E03E40">
        <w:rPr>
          <w:rFonts w:ascii="Calibri" w:hAnsi="Calibri"/>
          <w:b/>
          <w:color w:val="1F497D" w:themeColor="text2"/>
          <w:sz w:val="44"/>
          <w:szCs w:val="44"/>
          <w:lang w:val="sv-SE"/>
        </w:rPr>
        <w:lastRenderedPageBreak/>
        <w:t>Bostadsmarknad och bostadspolitik på Island våren 2011</w:t>
      </w:r>
    </w:p>
    <w:p w14:paraId="36376879" w14:textId="77777777" w:rsidR="00E03E40" w:rsidRDefault="00E03E40" w:rsidP="00277D18">
      <w:pPr>
        <w:rPr>
          <w:rFonts w:ascii="Calibri" w:hAnsi="Calibri"/>
          <w:b/>
          <w:sz w:val="32"/>
          <w:szCs w:val="32"/>
          <w:lang w:val="sv-SE"/>
        </w:rPr>
      </w:pPr>
    </w:p>
    <w:p w14:paraId="06AFC573" w14:textId="77777777" w:rsidR="00277D18" w:rsidRPr="00E03E40" w:rsidRDefault="00277D18" w:rsidP="00E03E40">
      <w:pPr>
        <w:shd w:val="clear" w:color="auto" w:fill="FFFFFF" w:themeFill="background1"/>
        <w:rPr>
          <w:rFonts w:ascii="Calibri" w:hAnsi="Calibri"/>
          <w:b/>
          <w:color w:val="548DD4" w:themeColor="text2" w:themeTint="99"/>
          <w:sz w:val="32"/>
          <w:szCs w:val="32"/>
          <w:lang w:val="sv-SE"/>
        </w:rPr>
      </w:pPr>
      <w:r w:rsidRPr="00E03E40">
        <w:rPr>
          <w:rFonts w:ascii="Calibri" w:hAnsi="Calibri"/>
          <w:b/>
          <w:color w:val="548DD4" w:themeColor="text2" w:themeTint="99"/>
          <w:sz w:val="32"/>
          <w:szCs w:val="32"/>
          <w:lang w:val="sv-SE"/>
        </w:rPr>
        <w:t>Ekonomisk och politisk bakgrund</w:t>
      </w:r>
    </w:p>
    <w:p w14:paraId="203677F0" w14:textId="77777777" w:rsidR="00277D18" w:rsidRDefault="00277D18" w:rsidP="00277D18">
      <w:pPr>
        <w:autoSpaceDE w:val="0"/>
        <w:autoSpaceDN w:val="0"/>
        <w:adjustRightInd w:val="0"/>
        <w:jc w:val="both"/>
        <w:rPr>
          <w:rFonts w:asciiTheme="minorHAnsi" w:hAnsiTheme="minorHAnsi" w:cs="Times New Roman"/>
          <w:lang w:eastAsia="en-US"/>
        </w:rPr>
      </w:pPr>
      <w:r>
        <w:rPr>
          <w:rFonts w:asciiTheme="minorHAnsi" w:hAnsiTheme="minorHAnsi" w:cs="Times New Roman"/>
          <w:lang w:eastAsia="en-US"/>
        </w:rPr>
        <w:t>Den isländska ekonomin har de senaste två åren minskat med 10,2 procent, men nu räknar man med att den nedåtgående trenden kommer att vända och att landets BNP år 2011 kommer att börja växa, dvs. med 2,3 procent. Den privata konsumtionen väntas öka med 2,6 procent och investeringarna med 16,6 procent. Vidare räknas den omvända trenden inom den privata kons</w:t>
      </w:r>
      <w:r w:rsidR="00513C0C">
        <w:rPr>
          <w:rFonts w:asciiTheme="minorHAnsi" w:hAnsiTheme="minorHAnsi" w:cs="Times New Roman"/>
          <w:lang w:eastAsia="en-US"/>
        </w:rPr>
        <w:t>u</w:t>
      </w:r>
      <w:r>
        <w:rPr>
          <w:rFonts w:asciiTheme="minorHAnsi" w:hAnsiTheme="minorHAnsi" w:cs="Times New Roman"/>
          <w:lang w:eastAsia="en-US"/>
        </w:rPr>
        <w:t>mtionen som inleddes vid mitten av 2010 komma att fortsätta och bli synlig i de disponibla inkomsterna</w:t>
      </w:r>
      <w:r w:rsidR="00A35110">
        <w:rPr>
          <w:rFonts w:asciiTheme="minorHAnsi" w:hAnsiTheme="minorHAnsi" w:cs="Times New Roman"/>
          <w:lang w:eastAsia="en-US"/>
        </w:rPr>
        <w:t>s</w:t>
      </w:r>
      <w:r>
        <w:rPr>
          <w:rFonts w:asciiTheme="minorHAnsi" w:hAnsiTheme="minorHAnsi" w:cs="Times New Roman"/>
          <w:lang w:eastAsia="en-US"/>
        </w:rPr>
        <w:t xml:space="preserve"> ökade köpkraft under 2011 och de närmas påföljande åren.</w:t>
      </w:r>
    </w:p>
    <w:p w14:paraId="64A3FDA3" w14:textId="77777777" w:rsidR="00277D18" w:rsidRDefault="00277D18" w:rsidP="00277D18">
      <w:pPr>
        <w:autoSpaceDE w:val="0"/>
        <w:autoSpaceDN w:val="0"/>
        <w:adjustRightInd w:val="0"/>
        <w:jc w:val="both"/>
        <w:rPr>
          <w:rFonts w:asciiTheme="minorHAnsi" w:hAnsiTheme="minorHAnsi" w:cs="Times New Roman"/>
          <w:lang w:eastAsia="en-US"/>
        </w:rPr>
      </w:pPr>
    </w:p>
    <w:p w14:paraId="0246530D" w14:textId="77777777" w:rsidR="00277D18" w:rsidRDefault="00277D18" w:rsidP="00277D18">
      <w:pPr>
        <w:autoSpaceDE w:val="0"/>
        <w:autoSpaceDN w:val="0"/>
        <w:adjustRightInd w:val="0"/>
        <w:jc w:val="both"/>
        <w:rPr>
          <w:rFonts w:asciiTheme="minorHAnsi" w:hAnsiTheme="minorHAnsi" w:cs="Times New Roman"/>
          <w:lang w:eastAsia="en-US"/>
        </w:rPr>
      </w:pPr>
      <w:r>
        <w:rPr>
          <w:rFonts w:asciiTheme="minorHAnsi" w:hAnsiTheme="minorHAnsi" w:cs="Times New Roman"/>
          <w:lang w:eastAsia="en-US"/>
        </w:rPr>
        <w:t xml:space="preserve">År 2012 väntas sedan de totala investeringarna inom den isländska </w:t>
      </w:r>
      <w:r w:rsidR="00513C0C">
        <w:rPr>
          <w:rFonts w:asciiTheme="minorHAnsi" w:hAnsiTheme="minorHAnsi" w:cs="Times New Roman"/>
          <w:lang w:eastAsia="en-US"/>
        </w:rPr>
        <w:t>e</w:t>
      </w:r>
      <w:r>
        <w:rPr>
          <w:rFonts w:asciiTheme="minorHAnsi" w:hAnsiTheme="minorHAnsi" w:cs="Times New Roman"/>
          <w:lang w:eastAsia="en-US"/>
        </w:rPr>
        <w:t xml:space="preserve">konomin öka med 18,6 procent. Den offentliga konsumtionen väntas fortsätta att minska, dvs. </w:t>
      </w:r>
      <w:r w:rsidR="000144BE">
        <w:rPr>
          <w:rFonts w:asciiTheme="minorHAnsi" w:hAnsiTheme="minorHAnsi" w:cs="Times New Roman"/>
          <w:lang w:eastAsia="en-US"/>
        </w:rPr>
        <w:t>m</w:t>
      </w:r>
      <w:r>
        <w:rPr>
          <w:rFonts w:asciiTheme="minorHAnsi" w:hAnsiTheme="minorHAnsi" w:cs="Times New Roman"/>
          <w:lang w:eastAsia="en-US"/>
        </w:rPr>
        <w:t>ed 4 procent 2011 och 1,8 procent 2012, men därefter kommer dess minskning att avslutas.</w:t>
      </w:r>
    </w:p>
    <w:p w14:paraId="5EECBE5C" w14:textId="77777777" w:rsidR="00277D18" w:rsidRDefault="00277D18" w:rsidP="00277D18">
      <w:pPr>
        <w:autoSpaceDE w:val="0"/>
        <w:autoSpaceDN w:val="0"/>
        <w:adjustRightInd w:val="0"/>
        <w:jc w:val="both"/>
        <w:rPr>
          <w:rFonts w:asciiTheme="minorHAnsi" w:hAnsiTheme="minorHAnsi" w:cs="Times New Roman"/>
          <w:lang w:eastAsia="en-US"/>
        </w:rPr>
      </w:pPr>
    </w:p>
    <w:p w14:paraId="3B4FC8CF" w14:textId="77777777" w:rsidR="00277D18" w:rsidRDefault="00277D18" w:rsidP="00277D18">
      <w:pPr>
        <w:autoSpaceDE w:val="0"/>
        <w:autoSpaceDN w:val="0"/>
        <w:adjustRightInd w:val="0"/>
        <w:jc w:val="both"/>
        <w:rPr>
          <w:rFonts w:asciiTheme="minorHAnsi" w:hAnsiTheme="minorHAnsi" w:cs="Times New Roman"/>
          <w:lang w:eastAsia="en-US"/>
        </w:rPr>
      </w:pPr>
      <w:r>
        <w:rPr>
          <w:rFonts w:asciiTheme="minorHAnsi" w:hAnsiTheme="minorHAnsi" w:cs="Times New Roman"/>
          <w:lang w:eastAsia="en-US"/>
        </w:rPr>
        <w:t>Utvecklingen av de viktigaste ekonomiska indikatorerna 2004-2016 visas i den medföljande tabellen.</w:t>
      </w:r>
    </w:p>
    <w:p w14:paraId="7ED78191" w14:textId="77777777" w:rsidR="00277D18" w:rsidRPr="006B50AA" w:rsidRDefault="00277D18" w:rsidP="00277D18">
      <w:pPr>
        <w:pStyle w:val="Ingetavstnd"/>
        <w:jc w:val="both"/>
        <w:rPr>
          <w:rFonts w:ascii="Calibri" w:hAnsi="Calibri"/>
          <w:color w:val="000000"/>
          <w:lang w:val="is-IS"/>
        </w:rPr>
      </w:pPr>
    </w:p>
    <w:tbl>
      <w:tblPr>
        <w:tblStyle w:val="Ljusskuggning-dekorfrg1"/>
        <w:tblW w:w="9320" w:type="dxa"/>
        <w:tblLayout w:type="fixed"/>
        <w:tblLook w:val="01E0" w:firstRow="1" w:lastRow="1" w:firstColumn="1" w:lastColumn="1" w:noHBand="0" w:noVBand="0"/>
      </w:tblPr>
      <w:tblGrid>
        <w:gridCol w:w="1585"/>
        <w:gridCol w:w="595"/>
        <w:gridCol w:w="595"/>
        <w:gridCol w:w="595"/>
        <w:gridCol w:w="595"/>
        <w:gridCol w:w="595"/>
        <w:gridCol w:w="595"/>
        <w:gridCol w:w="595"/>
        <w:gridCol w:w="595"/>
        <w:gridCol w:w="595"/>
        <w:gridCol w:w="595"/>
        <w:gridCol w:w="595"/>
        <w:gridCol w:w="595"/>
        <w:gridCol w:w="595"/>
      </w:tblGrid>
      <w:tr w:rsidR="00277D18" w14:paraId="15B9FF27" w14:textId="77777777" w:rsidTr="00D74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14:paraId="2C9285BF" w14:textId="77777777" w:rsidR="00277D18" w:rsidRPr="009754B8" w:rsidRDefault="00277D18" w:rsidP="00D749CD">
            <w:pPr>
              <w:pStyle w:val="Ingetavstnd"/>
              <w:spacing w:line="276" w:lineRule="auto"/>
              <w:jc w:val="both"/>
              <w:rPr>
                <w:rFonts w:ascii="Calibri" w:hAnsi="Calibri"/>
                <w:b w:val="0"/>
                <w:bCs w:val="0"/>
                <w:color w:val="365F91"/>
                <w:sz w:val="18"/>
                <w:szCs w:val="18"/>
                <w:lang w:val="sv-SE"/>
              </w:rPr>
            </w:pPr>
          </w:p>
        </w:tc>
        <w:tc>
          <w:tcPr>
            <w:cnfStyle w:val="000010000000" w:firstRow="0" w:lastRow="0" w:firstColumn="0" w:lastColumn="0" w:oddVBand="1" w:evenVBand="0" w:oddHBand="0" w:evenHBand="0" w:firstRowFirstColumn="0" w:firstRowLastColumn="0" w:lastRowFirstColumn="0" w:lastRowLastColumn="0"/>
            <w:tcW w:w="595" w:type="dxa"/>
            <w:hideMark/>
          </w:tcPr>
          <w:p w14:paraId="0C21C3C9" w14:textId="77777777" w:rsidR="00277D18" w:rsidRPr="009754B8" w:rsidRDefault="00277D18" w:rsidP="00D749CD">
            <w:pPr>
              <w:pStyle w:val="Ingetavstnd"/>
              <w:spacing w:line="276" w:lineRule="auto"/>
              <w:jc w:val="both"/>
              <w:rPr>
                <w:rFonts w:ascii="Calibri" w:hAnsi="Calibri"/>
                <w:b w:val="0"/>
                <w:bCs w:val="0"/>
                <w:color w:val="365F91"/>
                <w:sz w:val="18"/>
                <w:szCs w:val="18"/>
              </w:rPr>
            </w:pPr>
            <w:r w:rsidRPr="009754B8">
              <w:rPr>
                <w:rFonts w:ascii="Calibri" w:hAnsi="Calibri"/>
                <w:color w:val="365F91"/>
                <w:sz w:val="18"/>
                <w:szCs w:val="18"/>
              </w:rPr>
              <w:t>2004</w:t>
            </w:r>
          </w:p>
        </w:tc>
        <w:tc>
          <w:tcPr>
            <w:tcW w:w="595" w:type="dxa"/>
            <w:hideMark/>
          </w:tcPr>
          <w:p w14:paraId="0660AFDE" w14:textId="77777777" w:rsidR="00277D18" w:rsidRPr="009754B8" w:rsidRDefault="00277D18" w:rsidP="00D749CD">
            <w:pPr>
              <w:pStyle w:val="Ingetavstnd"/>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365F91"/>
                <w:sz w:val="18"/>
                <w:szCs w:val="18"/>
              </w:rPr>
            </w:pPr>
            <w:r w:rsidRPr="009754B8">
              <w:rPr>
                <w:rFonts w:ascii="Calibri" w:hAnsi="Calibri"/>
                <w:color w:val="365F91"/>
                <w:sz w:val="18"/>
                <w:szCs w:val="18"/>
              </w:rPr>
              <w:t>2005</w:t>
            </w:r>
          </w:p>
        </w:tc>
        <w:tc>
          <w:tcPr>
            <w:cnfStyle w:val="000010000000" w:firstRow="0" w:lastRow="0" w:firstColumn="0" w:lastColumn="0" w:oddVBand="1" w:evenVBand="0" w:oddHBand="0" w:evenHBand="0" w:firstRowFirstColumn="0" w:firstRowLastColumn="0" w:lastRowFirstColumn="0" w:lastRowLastColumn="0"/>
            <w:tcW w:w="595" w:type="dxa"/>
            <w:hideMark/>
          </w:tcPr>
          <w:p w14:paraId="464793D1" w14:textId="77777777" w:rsidR="00277D18" w:rsidRPr="009754B8" w:rsidRDefault="00277D18" w:rsidP="00D749CD">
            <w:pPr>
              <w:pStyle w:val="Ingetavstnd"/>
              <w:spacing w:line="276" w:lineRule="auto"/>
              <w:jc w:val="both"/>
              <w:rPr>
                <w:rFonts w:ascii="Calibri" w:hAnsi="Calibri"/>
                <w:b w:val="0"/>
                <w:bCs w:val="0"/>
                <w:color w:val="365F91"/>
                <w:sz w:val="18"/>
                <w:szCs w:val="18"/>
              </w:rPr>
            </w:pPr>
            <w:r w:rsidRPr="009754B8">
              <w:rPr>
                <w:rFonts w:ascii="Calibri" w:hAnsi="Calibri"/>
                <w:color w:val="365F91"/>
                <w:sz w:val="18"/>
                <w:szCs w:val="18"/>
              </w:rPr>
              <w:t>2006</w:t>
            </w:r>
          </w:p>
        </w:tc>
        <w:tc>
          <w:tcPr>
            <w:tcW w:w="595" w:type="dxa"/>
            <w:hideMark/>
          </w:tcPr>
          <w:p w14:paraId="42FE8D4C" w14:textId="77777777" w:rsidR="00277D18" w:rsidRPr="009754B8" w:rsidRDefault="00277D18" w:rsidP="00D749CD">
            <w:pPr>
              <w:pStyle w:val="Ingetavstnd"/>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i/>
                <w:color w:val="365F91"/>
                <w:sz w:val="18"/>
                <w:szCs w:val="18"/>
              </w:rPr>
            </w:pPr>
            <w:r w:rsidRPr="009754B8">
              <w:rPr>
                <w:rFonts w:ascii="Calibri" w:hAnsi="Calibri"/>
                <w:i/>
                <w:color w:val="365F91"/>
                <w:sz w:val="18"/>
                <w:szCs w:val="18"/>
              </w:rPr>
              <w:t>2007</w:t>
            </w:r>
          </w:p>
        </w:tc>
        <w:tc>
          <w:tcPr>
            <w:cnfStyle w:val="000010000000" w:firstRow="0" w:lastRow="0" w:firstColumn="0" w:lastColumn="0" w:oddVBand="1" w:evenVBand="0" w:oddHBand="0" w:evenHBand="0" w:firstRowFirstColumn="0" w:firstRowLastColumn="0" w:lastRowFirstColumn="0" w:lastRowLastColumn="0"/>
            <w:tcW w:w="595" w:type="dxa"/>
            <w:hideMark/>
          </w:tcPr>
          <w:p w14:paraId="3A7F6451" w14:textId="77777777" w:rsidR="00277D18" w:rsidRPr="009754B8" w:rsidRDefault="00277D18" w:rsidP="00D749CD">
            <w:pPr>
              <w:pStyle w:val="Ingetavstnd"/>
              <w:spacing w:line="276" w:lineRule="auto"/>
              <w:jc w:val="both"/>
              <w:rPr>
                <w:rFonts w:ascii="Calibri" w:hAnsi="Calibri"/>
                <w:b w:val="0"/>
                <w:bCs w:val="0"/>
                <w:i/>
                <w:color w:val="365F91"/>
                <w:sz w:val="18"/>
                <w:szCs w:val="18"/>
              </w:rPr>
            </w:pPr>
            <w:r w:rsidRPr="009754B8">
              <w:rPr>
                <w:rFonts w:ascii="Calibri" w:hAnsi="Calibri"/>
                <w:i/>
                <w:color w:val="365F91"/>
                <w:sz w:val="18"/>
                <w:szCs w:val="18"/>
              </w:rPr>
              <w:t>2008</w:t>
            </w:r>
          </w:p>
        </w:tc>
        <w:tc>
          <w:tcPr>
            <w:tcW w:w="595" w:type="dxa"/>
            <w:hideMark/>
          </w:tcPr>
          <w:p w14:paraId="44384ABF" w14:textId="77777777" w:rsidR="00277D18" w:rsidRPr="009754B8" w:rsidRDefault="00277D18" w:rsidP="00D749CD">
            <w:pPr>
              <w:pStyle w:val="Ingetavstnd"/>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i/>
                <w:color w:val="365F91"/>
                <w:sz w:val="18"/>
                <w:szCs w:val="18"/>
              </w:rPr>
            </w:pPr>
            <w:r w:rsidRPr="009754B8">
              <w:rPr>
                <w:rFonts w:ascii="Calibri" w:hAnsi="Calibri"/>
                <w:i/>
                <w:color w:val="365F91"/>
                <w:sz w:val="18"/>
                <w:szCs w:val="18"/>
              </w:rPr>
              <w:t>2009</w:t>
            </w:r>
          </w:p>
        </w:tc>
        <w:tc>
          <w:tcPr>
            <w:cnfStyle w:val="000010000000" w:firstRow="0" w:lastRow="0" w:firstColumn="0" w:lastColumn="0" w:oddVBand="1" w:evenVBand="0" w:oddHBand="0" w:evenHBand="0" w:firstRowFirstColumn="0" w:firstRowLastColumn="0" w:lastRowFirstColumn="0" w:lastRowLastColumn="0"/>
            <w:tcW w:w="595" w:type="dxa"/>
            <w:hideMark/>
          </w:tcPr>
          <w:p w14:paraId="3E985AA0" w14:textId="77777777" w:rsidR="00277D18" w:rsidRPr="009754B8" w:rsidRDefault="00277D18" w:rsidP="00D749CD">
            <w:pPr>
              <w:pStyle w:val="Ingetavstnd"/>
              <w:spacing w:line="276" w:lineRule="auto"/>
              <w:jc w:val="both"/>
              <w:rPr>
                <w:rFonts w:ascii="Calibri" w:hAnsi="Calibri"/>
                <w:b w:val="0"/>
                <w:bCs w:val="0"/>
                <w:i/>
                <w:color w:val="365F91"/>
                <w:sz w:val="18"/>
                <w:szCs w:val="18"/>
              </w:rPr>
            </w:pPr>
            <w:r w:rsidRPr="009754B8">
              <w:rPr>
                <w:rFonts w:ascii="Calibri" w:hAnsi="Calibri"/>
                <w:i/>
                <w:color w:val="365F91"/>
                <w:sz w:val="18"/>
                <w:szCs w:val="18"/>
              </w:rPr>
              <w:t>2010</w:t>
            </w:r>
          </w:p>
        </w:tc>
        <w:tc>
          <w:tcPr>
            <w:tcW w:w="595" w:type="dxa"/>
            <w:hideMark/>
          </w:tcPr>
          <w:p w14:paraId="75D992C6" w14:textId="77777777" w:rsidR="00277D18" w:rsidRPr="009754B8" w:rsidRDefault="00277D18" w:rsidP="00D749CD">
            <w:pPr>
              <w:pStyle w:val="Ingetavstnd"/>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i/>
                <w:color w:val="365F91"/>
                <w:sz w:val="18"/>
                <w:szCs w:val="18"/>
              </w:rPr>
            </w:pPr>
            <w:r w:rsidRPr="009754B8">
              <w:rPr>
                <w:rFonts w:ascii="Calibri" w:hAnsi="Calibri"/>
                <w:i/>
                <w:color w:val="365F91"/>
                <w:sz w:val="18"/>
                <w:szCs w:val="18"/>
              </w:rPr>
              <w:t>2011</w:t>
            </w:r>
          </w:p>
        </w:tc>
        <w:tc>
          <w:tcPr>
            <w:cnfStyle w:val="000010000000" w:firstRow="0" w:lastRow="0" w:firstColumn="0" w:lastColumn="0" w:oddVBand="1" w:evenVBand="0" w:oddHBand="0" w:evenHBand="0" w:firstRowFirstColumn="0" w:firstRowLastColumn="0" w:lastRowFirstColumn="0" w:lastRowLastColumn="0"/>
            <w:tcW w:w="595" w:type="dxa"/>
            <w:hideMark/>
          </w:tcPr>
          <w:p w14:paraId="36E0B04A" w14:textId="77777777" w:rsidR="00277D18" w:rsidRPr="009754B8" w:rsidRDefault="00277D18" w:rsidP="00D749CD">
            <w:pPr>
              <w:pStyle w:val="Ingetavstnd"/>
              <w:spacing w:line="276" w:lineRule="auto"/>
              <w:jc w:val="both"/>
              <w:rPr>
                <w:rFonts w:ascii="Calibri" w:hAnsi="Calibri"/>
                <w:b w:val="0"/>
                <w:bCs w:val="0"/>
                <w:i/>
                <w:color w:val="365F91"/>
                <w:sz w:val="18"/>
                <w:szCs w:val="18"/>
              </w:rPr>
            </w:pPr>
            <w:r w:rsidRPr="009754B8">
              <w:rPr>
                <w:rFonts w:ascii="Calibri" w:hAnsi="Calibri"/>
                <w:i/>
                <w:color w:val="365F91"/>
                <w:sz w:val="18"/>
                <w:szCs w:val="18"/>
              </w:rPr>
              <w:t>2012</w:t>
            </w:r>
          </w:p>
        </w:tc>
        <w:tc>
          <w:tcPr>
            <w:tcW w:w="595" w:type="dxa"/>
            <w:hideMark/>
          </w:tcPr>
          <w:p w14:paraId="64D7D22F" w14:textId="77777777" w:rsidR="00277D18" w:rsidRPr="009754B8" w:rsidRDefault="00277D18" w:rsidP="00D749CD">
            <w:pPr>
              <w:pStyle w:val="Ingetavstnd"/>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i/>
                <w:color w:val="365F91"/>
                <w:sz w:val="18"/>
                <w:szCs w:val="18"/>
              </w:rPr>
            </w:pPr>
            <w:r w:rsidRPr="009754B8">
              <w:rPr>
                <w:rFonts w:ascii="Calibri" w:hAnsi="Calibri"/>
                <w:i/>
                <w:color w:val="365F91"/>
                <w:sz w:val="18"/>
                <w:szCs w:val="18"/>
              </w:rPr>
              <w:t>2013</w:t>
            </w:r>
          </w:p>
        </w:tc>
        <w:tc>
          <w:tcPr>
            <w:cnfStyle w:val="000010000000" w:firstRow="0" w:lastRow="0" w:firstColumn="0" w:lastColumn="0" w:oddVBand="1" w:evenVBand="0" w:oddHBand="0" w:evenHBand="0" w:firstRowFirstColumn="0" w:firstRowLastColumn="0" w:lastRowFirstColumn="0" w:lastRowLastColumn="0"/>
            <w:tcW w:w="595" w:type="dxa"/>
            <w:hideMark/>
          </w:tcPr>
          <w:p w14:paraId="46A743F8" w14:textId="77777777" w:rsidR="00277D18" w:rsidRPr="009754B8" w:rsidRDefault="00277D18" w:rsidP="00D749CD">
            <w:pPr>
              <w:pStyle w:val="Ingetavstnd"/>
              <w:spacing w:line="276" w:lineRule="auto"/>
              <w:jc w:val="both"/>
              <w:rPr>
                <w:rFonts w:ascii="Calibri" w:hAnsi="Calibri"/>
                <w:b w:val="0"/>
                <w:bCs w:val="0"/>
                <w:i/>
                <w:color w:val="365F91"/>
                <w:sz w:val="18"/>
                <w:szCs w:val="18"/>
              </w:rPr>
            </w:pPr>
            <w:r w:rsidRPr="009754B8">
              <w:rPr>
                <w:rFonts w:ascii="Calibri" w:hAnsi="Calibri"/>
                <w:i/>
                <w:color w:val="365F91"/>
                <w:sz w:val="18"/>
                <w:szCs w:val="18"/>
              </w:rPr>
              <w:t>2014</w:t>
            </w:r>
          </w:p>
        </w:tc>
        <w:tc>
          <w:tcPr>
            <w:tcW w:w="595" w:type="dxa"/>
            <w:hideMark/>
          </w:tcPr>
          <w:p w14:paraId="19E75457" w14:textId="77777777" w:rsidR="00277D18" w:rsidRPr="009754B8" w:rsidRDefault="00277D18" w:rsidP="00D749CD">
            <w:pPr>
              <w:pStyle w:val="Ingetavstnd"/>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i/>
                <w:color w:val="365F91"/>
                <w:sz w:val="18"/>
                <w:szCs w:val="18"/>
              </w:rPr>
            </w:pPr>
            <w:r w:rsidRPr="009754B8">
              <w:rPr>
                <w:rFonts w:ascii="Calibri" w:hAnsi="Calibri"/>
                <w:i/>
                <w:color w:val="365F91"/>
                <w:sz w:val="18"/>
                <w:szCs w:val="18"/>
              </w:rPr>
              <w:t>2015</w:t>
            </w:r>
          </w:p>
        </w:tc>
        <w:tc>
          <w:tcPr>
            <w:cnfStyle w:val="000100000000" w:firstRow="0" w:lastRow="0" w:firstColumn="0" w:lastColumn="1" w:oddVBand="0" w:evenVBand="0" w:oddHBand="0" w:evenHBand="0" w:firstRowFirstColumn="0" w:firstRowLastColumn="0" w:lastRowFirstColumn="0" w:lastRowLastColumn="0"/>
            <w:tcW w:w="595" w:type="dxa"/>
            <w:shd w:val="clear" w:color="auto" w:fill="DAEEF3" w:themeFill="accent5" w:themeFillTint="33"/>
          </w:tcPr>
          <w:p w14:paraId="5A9B5FE0" w14:textId="77777777" w:rsidR="00277D18" w:rsidRPr="009754B8" w:rsidRDefault="00277D18" w:rsidP="00D749CD">
            <w:pPr>
              <w:pStyle w:val="Ingetavstnd"/>
              <w:spacing w:line="276" w:lineRule="auto"/>
              <w:jc w:val="both"/>
              <w:rPr>
                <w:rFonts w:ascii="Calibri" w:hAnsi="Calibri"/>
                <w:b w:val="0"/>
                <w:bCs w:val="0"/>
                <w:i/>
                <w:color w:val="365F91"/>
                <w:sz w:val="18"/>
                <w:szCs w:val="18"/>
              </w:rPr>
            </w:pPr>
            <w:r w:rsidRPr="009754B8">
              <w:rPr>
                <w:rFonts w:ascii="Calibri" w:hAnsi="Calibri"/>
                <w:i/>
                <w:color w:val="365F91"/>
                <w:sz w:val="18"/>
                <w:szCs w:val="18"/>
              </w:rPr>
              <w:t>201</w:t>
            </w:r>
            <w:r w:rsidRPr="009754B8">
              <w:rPr>
                <w:rFonts w:ascii="Calibri" w:hAnsi="Calibri"/>
                <w:b w:val="0"/>
                <w:bCs w:val="0"/>
                <w:i/>
                <w:color w:val="365F91"/>
                <w:sz w:val="18"/>
                <w:szCs w:val="18"/>
              </w:rPr>
              <w:t>6</w:t>
            </w:r>
          </w:p>
        </w:tc>
      </w:tr>
      <w:tr w:rsidR="00277D18" w14:paraId="61081FE4" w14:textId="77777777" w:rsidTr="00694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shd w:val="clear" w:color="auto" w:fill="FFFFFF" w:themeFill="background1"/>
            <w:hideMark/>
          </w:tcPr>
          <w:p w14:paraId="1B7E286D" w14:textId="77777777" w:rsidR="00277D18" w:rsidRPr="009754B8" w:rsidRDefault="00277D18" w:rsidP="00D749CD">
            <w:pPr>
              <w:pStyle w:val="Ingetavstnd"/>
              <w:spacing w:line="276" w:lineRule="auto"/>
              <w:jc w:val="both"/>
              <w:rPr>
                <w:rFonts w:ascii="Calibri" w:hAnsi="Calibri"/>
                <w:b w:val="0"/>
                <w:bCs w:val="0"/>
                <w:color w:val="365F91"/>
                <w:sz w:val="18"/>
                <w:szCs w:val="18"/>
              </w:rPr>
            </w:pPr>
            <w:proofErr w:type="spellStart"/>
            <w:r w:rsidRPr="009754B8">
              <w:rPr>
                <w:rFonts w:ascii="Calibri" w:hAnsi="Calibri"/>
                <w:color w:val="365F91"/>
                <w:sz w:val="18"/>
                <w:szCs w:val="18"/>
              </w:rPr>
              <w:t>Ekonomisk</w:t>
            </w:r>
            <w:proofErr w:type="spellEnd"/>
            <w:r w:rsidRPr="009754B8">
              <w:rPr>
                <w:rFonts w:ascii="Calibri" w:hAnsi="Calibri"/>
                <w:color w:val="365F91"/>
                <w:sz w:val="18"/>
                <w:szCs w:val="18"/>
              </w:rPr>
              <w:t xml:space="preserve"> </w:t>
            </w:r>
            <w:proofErr w:type="spellStart"/>
            <w:r w:rsidRPr="009754B8">
              <w:rPr>
                <w:rFonts w:ascii="Calibri" w:hAnsi="Calibri"/>
                <w:color w:val="365F91"/>
                <w:sz w:val="18"/>
                <w:szCs w:val="18"/>
              </w:rPr>
              <w:t>tillväxt</w:t>
            </w:r>
            <w:proofErr w:type="spellEnd"/>
            <w:r w:rsidRPr="009754B8">
              <w:rPr>
                <w:rFonts w:ascii="Calibri" w:hAnsi="Calibri"/>
                <w:color w:val="365F91"/>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595" w:type="dxa"/>
            <w:hideMark/>
          </w:tcPr>
          <w:p w14:paraId="51E1AC59" w14:textId="77777777" w:rsidR="00277D18" w:rsidRPr="009754B8" w:rsidRDefault="00277D18" w:rsidP="00D749CD">
            <w:pPr>
              <w:pStyle w:val="Ingetavstnd"/>
              <w:spacing w:line="276" w:lineRule="auto"/>
              <w:jc w:val="center"/>
              <w:rPr>
                <w:rFonts w:ascii="Calibri" w:hAnsi="Calibri"/>
                <w:color w:val="365F91"/>
                <w:sz w:val="18"/>
                <w:szCs w:val="18"/>
              </w:rPr>
            </w:pPr>
            <w:r w:rsidRPr="009754B8">
              <w:rPr>
                <w:rFonts w:ascii="Calibri" w:hAnsi="Calibri"/>
                <w:color w:val="365F91"/>
                <w:sz w:val="18"/>
                <w:szCs w:val="18"/>
              </w:rPr>
              <w:t>7,7</w:t>
            </w:r>
          </w:p>
        </w:tc>
        <w:tc>
          <w:tcPr>
            <w:tcW w:w="595" w:type="dxa"/>
            <w:shd w:val="clear" w:color="auto" w:fill="FFFFFF" w:themeFill="background1"/>
            <w:hideMark/>
          </w:tcPr>
          <w:p w14:paraId="599DA880" w14:textId="77777777" w:rsidR="00277D18" w:rsidRPr="009754B8" w:rsidRDefault="00277D18" w:rsidP="00D749CD">
            <w:pPr>
              <w:pStyle w:val="Ingetavstnd"/>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365F91"/>
                <w:sz w:val="18"/>
                <w:szCs w:val="18"/>
              </w:rPr>
            </w:pPr>
            <w:r w:rsidRPr="009754B8">
              <w:rPr>
                <w:rFonts w:ascii="Calibri" w:hAnsi="Calibri"/>
                <w:color w:val="365F91"/>
                <w:sz w:val="18"/>
                <w:szCs w:val="18"/>
              </w:rPr>
              <w:t>7,5</w:t>
            </w:r>
          </w:p>
        </w:tc>
        <w:tc>
          <w:tcPr>
            <w:cnfStyle w:val="000010000000" w:firstRow="0" w:lastRow="0" w:firstColumn="0" w:lastColumn="0" w:oddVBand="1" w:evenVBand="0" w:oddHBand="0" w:evenHBand="0" w:firstRowFirstColumn="0" w:firstRowLastColumn="0" w:lastRowFirstColumn="0" w:lastRowLastColumn="0"/>
            <w:tcW w:w="595" w:type="dxa"/>
            <w:hideMark/>
          </w:tcPr>
          <w:p w14:paraId="10560BFF" w14:textId="77777777" w:rsidR="00277D18" w:rsidRPr="009754B8" w:rsidRDefault="00277D18" w:rsidP="00D749CD">
            <w:pPr>
              <w:pStyle w:val="Ingetavstnd"/>
              <w:spacing w:line="276" w:lineRule="auto"/>
              <w:jc w:val="center"/>
              <w:rPr>
                <w:rFonts w:ascii="Calibri" w:hAnsi="Calibri"/>
                <w:color w:val="365F91"/>
                <w:sz w:val="18"/>
                <w:szCs w:val="18"/>
              </w:rPr>
            </w:pPr>
            <w:r w:rsidRPr="009754B8">
              <w:rPr>
                <w:rFonts w:ascii="Calibri" w:hAnsi="Calibri"/>
                <w:color w:val="365F91"/>
                <w:sz w:val="18"/>
                <w:szCs w:val="18"/>
              </w:rPr>
              <w:t>4,6</w:t>
            </w:r>
          </w:p>
        </w:tc>
        <w:tc>
          <w:tcPr>
            <w:tcW w:w="595" w:type="dxa"/>
            <w:shd w:val="clear" w:color="auto" w:fill="FFFFFF" w:themeFill="background1"/>
            <w:hideMark/>
          </w:tcPr>
          <w:p w14:paraId="5016F2C7" w14:textId="77777777" w:rsidR="00277D18" w:rsidRPr="009754B8" w:rsidRDefault="00277D18" w:rsidP="00D749CD">
            <w:pPr>
              <w:pStyle w:val="Ingetavstnd"/>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365F91"/>
                <w:sz w:val="18"/>
                <w:szCs w:val="18"/>
              </w:rPr>
            </w:pPr>
            <w:r w:rsidRPr="009754B8">
              <w:rPr>
                <w:rFonts w:ascii="Calibri" w:hAnsi="Calibri"/>
                <w:i/>
                <w:color w:val="365F91"/>
                <w:sz w:val="18"/>
                <w:szCs w:val="18"/>
              </w:rPr>
              <w:t>6,0</w:t>
            </w:r>
          </w:p>
        </w:tc>
        <w:tc>
          <w:tcPr>
            <w:cnfStyle w:val="000010000000" w:firstRow="0" w:lastRow="0" w:firstColumn="0" w:lastColumn="0" w:oddVBand="1" w:evenVBand="0" w:oddHBand="0" w:evenHBand="0" w:firstRowFirstColumn="0" w:firstRowLastColumn="0" w:lastRowFirstColumn="0" w:lastRowLastColumn="0"/>
            <w:tcW w:w="595" w:type="dxa"/>
            <w:hideMark/>
          </w:tcPr>
          <w:p w14:paraId="1B6C9E87" w14:textId="77777777" w:rsidR="00277D18" w:rsidRPr="009754B8" w:rsidRDefault="00277D18" w:rsidP="00D749CD">
            <w:pPr>
              <w:pStyle w:val="Ingetavstnd"/>
              <w:spacing w:line="276" w:lineRule="auto"/>
              <w:jc w:val="center"/>
              <w:rPr>
                <w:rFonts w:ascii="Calibri" w:hAnsi="Calibri"/>
                <w:i/>
                <w:color w:val="365F91"/>
                <w:sz w:val="18"/>
                <w:szCs w:val="18"/>
              </w:rPr>
            </w:pPr>
            <w:r w:rsidRPr="009754B8">
              <w:rPr>
                <w:rFonts w:ascii="Calibri" w:hAnsi="Calibri"/>
                <w:i/>
                <w:color w:val="365F91"/>
                <w:sz w:val="18"/>
                <w:szCs w:val="18"/>
              </w:rPr>
              <w:t>1,</w:t>
            </w:r>
            <w:r>
              <w:rPr>
                <w:rFonts w:ascii="Calibri" w:hAnsi="Calibri"/>
                <w:i/>
                <w:color w:val="365F91"/>
                <w:sz w:val="18"/>
                <w:szCs w:val="18"/>
              </w:rPr>
              <w:t>4</w:t>
            </w:r>
          </w:p>
        </w:tc>
        <w:tc>
          <w:tcPr>
            <w:tcW w:w="595" w:type="dxa"/>
            <w:shd w:val="clear" w:color="auto" w:fill="FFFFFF" w:themeFill="background1"/>
            <w:hideMark/>
          </w:tcPr>
          <w:p w14:paraId="310A598A" w14:textId="77777777" w:rsidR="00277D18" w:rsidRPr="009754B8" w:rsidRDefault="00277D18" w:rsidP="00D749CD">
            <w:pPr>
              <w:pStyle w:val="Ingetavstnd"/>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365F91"/>
                <w:sz w:val="18"/>
                <w:szCs w:val="18"/>
              </w:rPr>
            </w:pPr>
            <w:r w:rsidRPr="009754B8">
              <w:rPr>
                <w:rFonts w:ascii="Calibri" w:hAnsi="Calibri"/>
                <w:i/>
                <w:color w:val="365F91"/>
                <w:sz w:val="18"/>
                <w:szCs w:val="18"/>
              </w:rPr>
              <w:t>-6,</w:t>
            </w:r>
            <w:r>
              <w:rPr>
                <w:rFonts w:ascii="Calibri" w:hAnsi="Calibri"/>
                <w:i/>
                <w:color w:val="365F91"/>
                <w:sz w:val="18"/>
                <w:szCs w:val="18"/>
              </w:rPr>
              <w:t>9</w:t>
            </w:r>
          </w:p>
        </w:tc>
        <w:tc>
          <w:tcPr>
            <w:cnfStyle w:val="000010000000" w:firstRow="0" w:lastRow="0" w:firstColumn="0" w:lastColumn="0" w:oddVBand="1" w:evenVBand="0" w:oddHBand="0" w:evenHBand="0" w:firstRowFirstColumn="0" w:firstRowLastColumn="0" w:lastRowFirstColumn="0" w:lastRowLastColumn="0"/>
            <w:tcW w:w="595" w:type="dxa"/>
            <w:hideMark/>
          </w:tcPr>
          <w:p w14:paraId="7519DB52" w14:textId="77777777" w:rsidR="00277D18" w:rsidRPr="009754B8" w:rsidRDefault="00277D18" w:rsidP="00D749CD">
            <w:pPr>
              <w:pStyle w:val="Ingetavstnd"/>
              <w:spacing w:line="276" w:lineRule="auto"/>
              <w:jc w:val="center"/>
              <w:rPr>
                <w:rFonts w:ascii="Calibri" w:hAnsi="Calibri"/>
                <w:i/>
                <w:color w:val="365F91"/>
                <w:sz w:val="18"/>
                <w:szCs w:val="18"/>
              </w:rPr>
            </w:pPr>
            <w:r w:rsidRPr="009754B8">
              <w:rPr>
                <w:rFonts w:ascii="Calibri" w:hAnsi="Calibri"/>
                <w:i/>
                <w:color w:val="365F91"/>
                <w:sz w:val="18"/>
                <w:szCs w:val="18"/>
              </w:rPr>
              <w:t>-</w:t>
            </w:r>
            <w:r>
              <w:rPr>
                <w:rFonts w:ascii="Calibri" w:hAnsi="Calibri"/>
                <w:i/>
                <w:color w:val="365F91"/>
                <w:sz w:val="18"/>
                <w:szCs w:val="18"/>
              </w:rPr>
              <w:t>3</w:t>
            </w:r>
            <w:r w:rsidRPr="009754B8">
              <w:rPr>
                <w:rFonts w:ascii="Calibri" w:hAnsi="Calibri"/>
                <w:i/>
                <w:color w:val="365F91"/>
                <w:sz w:val="18"/>
                <w:szCs w:val="18"/>
              </w:rPr>
              <w:t>,</w:t>
            </w:r>
            <w:r>
              <w:rPr>
                <w:rFonts w:ascii="Calibri" w:hAnsi="Calibri"/>
                <w:i/>
                <w:color w:val="365F91"/>
                <w:sz w:val="18"/>
                <w:szCs w:val="18"/>
              </w:rPr>
              <w:t>5</w:t>
            </w:r>
          </w:p>
        </w:tc>
        <w:tc>
          <w:tcPr>
            <w:tcW w:w="595" w:type="dxa"/>
            <w:shd w:val="clear" w:color="auto" w:fill="FFFFFF" w:themeFill="background1"/>
            <w:hideMark/>
          </w:tcPr>
          <w:p w14:paraId="7BFFD0F9" w14:textId="77777777" w:rsidR="00277D18" w:rsidRPr="009754B8" w:rsidRDefault="00277D18" w:rsidP="00D749CD">
            <w:pPr>
              <w:pStyle w:val="Ingetavstnd"/>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365F91"/>
                <w:sz w:val="18"/>
                <w:szCs w:val="18"/>
              </w:rPr>
            </w:pPr>
            <w:r w:rsidRPr="009754B8">
              <w:rPr>
                <w:rFonts w:ascii="Calibri" w:hAnsi="Calibri"/>
                <w:i/>
                <w:color w:val="365F91"/>
                <w:sz w:val="18"/>
                <w:szCs w:val="18"/>
              </w:rPr>
              <w:t>2,</w:t>
            </w:r>
            <w:r>
              <w:rPr>
                <w:rFonts w:ascii="Calibri" w:hAnsi="Calibri"/>
                <w:i/>
                <w:color w:val="365F91"/>
                <w:sz w:val="18"/>
                <w:szCs w:val="18"/>
              </w:rPr>
              <w:t>3</w:t>
            </w:r>
          </w:p>
        </w:tc>
        <w:tc>
          <w:tcPr>
            <w:cnfStyle w:val="000010000000" w:firstRow="0" w:lastRow="0" w:firstColumn="0" w:lastColumn="0" w:oddVBand="1" w:evenVBand="0" w:oddHBand="0" w:evenHBand="0" w:firstRowFirstColumn="0" w:firstRowLastColumn="0" w:lastRowFirstColumn="0" w:lastRowLastColumn="0"/>
            <w:tcW w:w="595" w:type="dxa"/>
            <w:hideMark/>
          </w:tcPr>
          <w:p w14:paraId="2000C7C9" w14:textId="77777777" w:rsidR="00277D18" w:rsidRPr="009754B8" w:rsidRDefault="00277D18" w:rsidP="00D749CD">
            <w:pPr>
              <w:pStyle w:val="Ingetavstnd"/>
              <w:spacing w:line="276" w:lineRule="auto"/>
              <w:jc w:val="center"/>
              <w:rPr>
                <w:rFonts w:ascii="Calibri" w:hAnsi="Calibri"/>
                <w:i/>
                <w:color w:val="365F91"/>
                <w:sz w:val="18"/>
                <w:szCs w:val="18"/>
              </w:rPr>
            </w:pPr>
            <w:r>
              <w:rPr>
                <w:rFonts w:ascii="Calibri" w:hAnsi="Calibri"/>
                <w:i/>
                <w:color w:val="365F91"/>
                <w:sz w:val="18"/>
                <w:szCs w:val="18"/>
              </w:rPr>
              <w:t>2</w:t>
            </w:r>
            <w:r w:rsidRPr="009754B8">
              <w:rPr>
                <w:rFonts w:ascii="Calibri" w:hAnsi="Calibri"/>
                <w:i/>
                <w:color w:val="365F91"/>
                <w:sz w:val="18"/>
                <w:szCs w:val="18"/>
              </w:rPr>
              <w:t>,</w:t>
            </w:r>
            <w:r>
              <w:rPr>
                <w:rFonts w:ascii="Calibri" w:hAnsi="Calibri"/>
                <w:i/>
                <w:color w:val="365F91"/>
                <w:sz w:val="18"/>
                <w:szCs w:val="18"/>
              </w:rPr>
              <w:t>9</w:t>
            </w:r>
          </w:p>
        </w:tc>
        <w:tc>
          <w:tcPr>
            <w:tcW w:w="595" w:type="dxa"/>
            <w:shd w:val="clear" w:color="auto" w:fill="FFFFFF" w:themeFill="background1"/>
            <w:hideMark/>
          </w:tcPr>
          <w:p w14:paraId="58FD3014" w14:textId="77777777" w:rsidR="00277D18" w:rsidRPr="009754B8" w:rsidRDefault="00277D18" w:rsidP="00D749CD">
            <w:pPr>
              <w:pStyle w:val="Ingetavstnd"/>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365F91"/>
                <w:sz w:val="18"/>
                <w:szCs w:val="18"/>
              </w:rPr>
            </w:pPr>
            <w:r>
              <w:rPr>
                <w:rFonts w:ascii="Calibri" w:hAnsi="Calibri"/>
                <w:i/>
                <w:color w:val="365F91"/>
                <w:sz w:val="18"/>
                <w:szCs w:val="18"/>
              </w:rPr>
              <w:t>2</w:t>
            </w:r>
            <w:r w:rsidRPr="009754B8">
              <w:rPr>
                <w:rFonts w:ascii="Calibri" w:hAnsi="Calibri"/>
                <w:i/>
                <w:color w:val="365F91"/>
                <w:sz w:val="18"/>
                <w:szCs w:val="18"/>
              </w:rPr>
              <w:t>,</w:t>
            </w:r>
            <w:r>
              <w:rPr>
                <w:rFonts w:ascii="Calibri" w:hAnsi="Calibri"/>
                <w:i/>
                <w:color w:val="365F91"/>
                <w:sz w:val="18"/>
                <w:szCs w:val="18"/>
              </w:rPr>
              <w:t>7</w:t>
            </w:r>
          </w:p>
        </w:tc>
        <w:tc>
          <w:tcPr>
            <w:cnfStyle w:val="000010000000" w:firstRow="0" w:lastRow="0" w:firstColumn="0" w:lastColumn="0" w:oddVBand="1" w:evenVBand="0" w:oddHBand="0" w:evenHBand="0" w:firstRowFirstColumn="0" w:firstRowLastColumn="0" w:lastRowFirstColumn="0" w:lastRowLastColumn="0"/>
            <w:tcW w:w="595" w:type="dxa"/>
            <w:hideMark/>
          </w:tcPr>
          <w:p w14:paraId="042A42BD" w14:textId="77777777" w:rsidR="00277D18" w:rsidRPr="009754B8" w:rsidRDefault="00277D18" w:rsidP="00D749CD">
            <w:pPr>
              <w:pStyle w:val="Ingetavstnd"/>
              <w:spacing w:line="276" w:lineRule="auto"/>
              <w:jc w:val="center"/>
              <w:rPr>
                <w:rFonts w:ascii="Calibri" w:hAnsi="Calibri"/>
                <w:i/>
                <w:color w:val="365F91"/>
                <w:sz w:val="18"/>
                <w:szCs w:val="18"/>
              </w:rPr>
            </w:pPr>
            <w:r>
              <w:rPr>
                <w:rFonts w:ascii="Calibri" w:hAnsi="Calibri"/>
                <w:i/>
                <w:color w:val="365F91"/>
                <w:sz w:val="18"/>
                <w:szCs w:val="18"/>
              </w:rPr>
              <w:t>2,7</w:t>
            </w:r>
          </w:p>
        </w:tc>
        <w:tc>
          <w:tcPr>
            <w:tcW w:w="595" w:type="dxa"/>
            <w:shd w:val="clear" w:color="auto" w:fill="FFFFFF" w:themeFill="background1"/>
            <w:hideMark/>
          </w:tcPr>
          <w:p w14:paraId="644F0D79" w14:textId="77777777" w:rsidR="00277D18" w:rsidRPr="009754B8" w:rsidRDefault="00277D18" w:rsidP="00D749CD">
            <w:pPr>
              <w:pStyle w:val="Ingetavstnd"/>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i/>
                <w:color w:val="365F91"/>
                <w:sz w:val="18"/>
                <w:szCs w:val="18"/>
              </w:rPr>
            </w:pPr>
            <w:r w:rsidRPr="009754B8">
              <w:rPr>
                <w:rFonts w:ascii="Calibri" w:hAnsi="Calibri"/>
                <w:bCs/>
                <w:i/>
                <w:color w:val="365F91"/>
                <w:sz w:val="18"/>
                <w:szCs w:val="18"/>
              </w:rPr>
              <w:t>3,0</w:t>
            </w:r>
          </w:p>
        </w:tc>
        <w:tc>
          <w:tcPr>
            <w:cnfStyle w:val="000100000000" w:firstRow="0" w:lastRow="0" w:firstColumn="0" w:lastColumn="1" w:oddVBand="0" w:evenVBand="0" w:oddHBand="0" w:evenHBand="0" w:firstRowFirstColumn="0" w:firstRowLastColumn="0" w:lastRowFirstColumn="0" w:lastRowLastColumn="0"/>
            <w:tcW w:w="595" w:type="dxa"/>
            <w:shd w:val="clear" w:color="auto" w:fill="DAEEF3" w:themeFill="accent5" w:themeFillTint="33"/>
          </w:tcPr>
          <w:p w14:paraId="47C4B95E" w14:textId="77777777" w:rsidR="00277D18" w:rsidRPr="009754B8" w:rsidRDefault="00277D18" w:rsidP="00D749CD">
            <w:pPr>
              <w:pStyle w:val="Ingetavstnd"/>
              <w:spacing w:line="276" w:lineRule="auto"/>
              <w:jc w:val="center"/>
              <w:rPr>
                <w:rFonts w:ascii="Calibri" w:hAnsi="Calibri"/>
                <w:bCs w:val="0"/>
                <w:i/>
                <w:color w:val="365F91"/>
                <w:sz w:val="18"/>
                <w:szCs w:val="18"/>
              </w:rPr>
            </w:pPr>
            <w:r w:rsidRPr="009754B8">
              <w:rPr>
                <w:rFonts w:ascii="Calibri" w:hAnsi="Calibri"/>
                <w:i/>
                <w:color w:val="365F91"/>
                <w:sz w:val="18"/>
                <w:szCs w:val="18"/>
              </w:rPr>
              <w:t>3,0</w:t>
            </w:r>
          </w:p>
        </w:tc>
      </w:tr>
      <w:tr w:rsidR="00277D18" w14:paraId="6B0BCF33" w14:textId="77777777" w:rsidTr="00D749CD">
        <w:tc>
          <w:tcPr>
            <w:cnfStyle w:val="001000000000" w:firstRow="0" w:lastRow="0" w:firstColumn="1" w:lastColumn="0" w:oddVBand="0" w:evenVBand="0" w:oddHBand="0" w:evenHBand="0" w:firstRowFirstColumn="0" w:firstRowLastColumn="0" w:lastRowFirstColumn="0" w:lastRowLastColumn="0"/>
            <w:tcW w:w="1585" w:type="dxa"/>
            <w:hideMark/>
          </w:tcPr>
          <w:p w14:paraId="0FBC5861" w14:textId="77777777" w:rsidR="00277D18" w:rsidRPr="009754B8" w:rsidRDefault="00277D18" w:rsidP="00D749CD">
            <w:pPr>
              <w:pStyle w:val="Ingetavstnd"/>
              <w:spacing w:line="276" w:lineRule="auto"/>
              <w:jc w:val="both"/>
              <w:rPr>
                <w:rFonts w:ascii="Calibri" w:hAnsi="Calibri"/>
                <w:b w:val="0"/>
                <w:bCs w:val="0"/>
                <w:color w:val="365F91"/>
                <w:sz w:val="18"/>
                <w:szCs w:val="18"/>
              </w:rPr>
            </w:pPr>
            <w:proofErr w:type="spellStart"/>
            <w:r w:rsidRPr="009754B8">
              <w:rPr>
                <w:rFonts w:ascii="Calibri" w:hAnsi="Calibri"/>
                <w:color w:val="365F91"/>
                <w:sz w:val="18"/>
                <w:szCs w:val="18"/>
              </w:rPr>
              <w:t>Konsumentpriser</w:t>
            </w:r>
            <w:proofErr w:type="spellEnd"/>
          </w:p>
        </w:tc>
        <w:tc>
          <w:tcPr>
            <w:cnfStyle w:val="000010000000" w:firstRow="0" w:lastRow="0" w:firstColumn="0" w:lastColumn="0" w:oddVBand="1" w:evenVBand="0" w:oddHBand="0" w:evenHBand="0" w:firstRowFirstColumn="0" w:firstRowLastColumn="0" w:lastRowFirstColumn="0" w:lastRowLastColumn="0"/>
            <w:tcW w:w="595" w:type="dxa"/>
            <w:hideMark/>
          </w:tcPr>
          <w:p w14:paraId="47973FF4" w14:textId="77777777" w:rsidR="00277D18" w:rsidRPr="009754B8" w:rsidRDefault="00277D18" w:rsidP="00D749CD">
            <w:pPr>
              <w:pStyle w:val="Ingetavstnd"/>
              <w:spacing w:line="276" w:lineRule="auto"/>
              <w:jc w:val="center"/>
              <w:rPr>
                <w:rFonts w:ascii="Calibri" w:hAnsi="Calibri"/>
                <w:color w:val="365F91"/>
                <w:sz w:val="18"/>
                <w:szCs w:val="18"/>
              </w:rPr>
            </w:pPr>
            <w:r w:rsidRPr="009754B8">
              <w:rPr>
                <w:rFonts w:ascii="Calibri" w:hAnsi="Calibri"/>
                <w:color w:val="365F91"/>
                <w:sz w:val="18"/>
                <w:szCs w:val="18"/>
              </w:rPr>
              <w:t>3,2</w:t>
            </w:r>
          </w:p>
        </w:tc>
        <w:tc>
          <w:tcPr>
            <w:tcW w:w="595" w:type="dxa"/>
            <w:hideMark/>
          </w:tcPr>
          <w:p w14:paraId="107D4EC2" w14:textId="77777777" w:rsidR="00277D18" w:rsidRPr="009754B8" w:rsidRDefault="00277D18" w:rsidP="00D749CD">
            <w:pPr>
              <w:pStyle w:val="Ingetavstnd"/>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365F91"/>
                <w:sz w:val="18"/>
                <w:szCs w:val="18"/>
              </w:rPr>
            </w:pPr>
            <w:r w:rsidRPr="009754B8">
              <w:rPr>
                <w:rFonts w:ascii="Calibri" w:hAnsi="Calibri"/>
                <w:color w:val="365F91"/>
                <w:sz w:val="18"/>
                <w:szCs w:val="18"/>
              </w:rPr>
              <w:t>4,0</w:t>
            </w:r>
          </w:p>
        </w:tc>
        <w:tc>
          <w:tcPr>
            <w:cnfStyle w:val="000010000000" w:firstRow="0" w:lastRow="0" w:firstColumn="0" w:lastColumn="0" w:oddVBand="1" w:evenVBand="0" w:oddHBand="0" w:evenHBand="0" w:firstRowFirstColumn="0" w:firstRowLastColumn="0" w:lastRowFirstColumn="0" w:lastRowLastColumn="0"/>
            <w:tcW w:w="595" w:type="dxa"/>
            <w:hideMark/>
          </w:tcPr>
          <w:p w14:paraId="32431728" w14:textId="77777777" w:rsidR="00277D18" w:rsidRPr="009754B8" w:rsidRDefault="00277D18" w:rsidP="00D749CD">
            <w:pPr>
              <w:pStyle w:val="Ingetavstnd"/>
              <w:spacing w:line="276" w:lineRule="auto"/>
              <w:jc w:val="center"/>
              <w:rPr>
                <w:rFonts w:ascii="Calibri" w:hAnsi="Calibri"/>
                <w:color w:val="365F91"/>
                <w:sz w:val="18"/>
                <w:szCs w:val="18"/>
              </w:rPr>
            </w:pPr>
            <w:r w:rsidRPr="009754B8">
              <w:rPr>
                <w:rFonts w:ascii="Calibri" w:hAnsi="Calibri"/>
                <w:color w:val="365F91"/>
                <w:sz w:val="18"/>
                <w:szCs w:val="18"/>
              </w:rPr>
              <w:t>6,8</w:t>
            </w:r>
          </w:p>
        </w:tc>
        <w:tc>
          <w:tcPr>
            <w:tcW w:w="595" w:type="dxa"/>
            <w:hideMark/>
          </w:tcPr>
          <w:p w14:paraId="52DC3997" w14:textId="77777777" w:rsidR="00277D18" w:rsidRPr="009754B8" w:rsidRDefault="00277D18" w:rsidP="00D749CD">
            <w:pPr>
              <w:pStyle w:val="Ingetavstnd"/>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i/>
                <w:color w:val="365F91"/>
                <w:sz w:val="18"/>
                <w:szCs w:val="18"/>
              </w:rPr>
            </w:pPr>
            <w:r w:rsidRPr="009754B8">
              <w:rPr>
                <w:rFonts w:ascii="Calibri" w:hAnsi="Calibri"/>
                <w:i/>
                <w:color w:val="365F91"/>
                <w:sz w:val="18"/>
                <w:szCs w:val="18"/>
              </w:rPr>
              <w:t>5,0</w:t>
            </w:r>
          </w:p>
        </w:tc>
        <w:tc>
          <w:tcPr>
            <w:cnfStyle w:val="000010000000" w:firstRow="0" w:lastRow="0" w:firstColumn="0" w:lastColumn="0" w:oddVBand="1" w:evenVBand="0" w:oddHBand="0" w:evenHBand="0" w:firstRowFirstColumn="0" w:firstRowLastColumn="0" w:lastRowFirstColumn="0" w:lastRowLastColumn="0"/>
            <w:tcW w:w="595" w:type="dxa"/>
            <w:hideMark/>
          </w:tcPr>
          <w:p w14:paraId="659A2A73" w14:textId="77777777" w:rsidR="00277D18" w:rsidRPr="009754B8" w:rsidRDefault="00277D18" w:rsidP="00D749CD">
            <w:pPr>
              <w:pStyle w:val="Ingetavstnd"/>
              <w:spacing w:line="276" w:lineRule="auto"/>
              <w:jc w:val="center"/>
              <w:rPr>
                <w:rFonts w:ascii="Calibri" w:hAnsi="Calibri"/>
                <w:i/>
                <w:color w:val="365F91"/>
                <w:sz w:val="18"/>
                <w:szCs w:val="18"/>
              </w:rPr>
            </w:pPr>
            <w:r w:rsidRPr="009754B8">
              <w:rPr>
                <w:rFonts w:ascii="Calibri" w:hAnsi="Calibri"/>
                <w:i/>
                <w:color w:val="365F91"/>
                <w:sz w:val="18"/>
                <w:szCs w:val="18"/>
              </w:rPr>
              <w:t>12,4</w:t>
            </w:r>
          </w:p>
        </w:tc>
        <w:tc>
          <w:tcPr>
            <w:tcW w:w="595" w:type="dxa"/>
            <w:hideMark/>
          </w:tcPr>
          <w:p w14:paraId="665B5A63" w14:textId="77777777" w:rsidR="00277D18" w:rsidRPr="009754B8" w:rsidRDefault="00277D18" w:rsidP="00D749CD">
            <w:pPr>
              <w:pStyle w:val="Ingetavstnd"/>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i/>
                <w:color w:val="365F91"/>
                <w:sz w:val="18"/>
                <w:szCs w:val="18"/>
              </w:rPr>
            </w:pPr>
            <w:r w:rsidRPr="009754B8">
              <w:rPr>
                <w:rFonts w:ascii="Calibri" w:hAnsi="Calibri"/>
                <w:i/>
                <w:color w:val="365F91"/>
                <w:sz w:val="18"/>
                <w:szCs w:val="18"/>
              </w:rPr>
              <w:t>12,0</w:t>
            </w:r>
          </w:p>
        </w:tc>
        <w:tc>
          <w:tcPr>
            <w:cnfStyle w:val="000010000000" w:firstRow="0" w:lastRow="0" w:firstColumn="0" w:lastColumn="0" w:oddVBand="1" w:evenVBand="0" w:oddHBand="0" w:evenHBand="0" w:firstRowFirstColumn="0" w:firstRowLastColumn="0" w:lastRowFirstColumn="0" w:lastRowLastColumn="0"/>
            <w:tcW w:w="595" w:type="dxa"/>
            <w:hideMark/>
          </w:tcPr>
          <w:p w14:paraId="59A77549" w14:textId="77777777" w:rsidR="00277D18" w:rsidRPr="009754B8" w:rsidRDefault="00277D18" w:rsidP="00D749CD">
            <w:pPr>
              <w:pStyle w:val="Ingetavstnd"/>
              <w:spacing w:line="276" w:lineRule="auto"/>
              <w:jc w:val="center"/>
              <w:rPr>
                <w:rFonts w:ascii="Calibri" w:hAnsi="Calibri"/>
                <w:i/>
                <w:color w:val="365F91"/>
                <w:sz w:val="18"/>
                <w:szCs w:val="18"/>
              </w:rPr>
            </w:pPr>
            <w:r w:rsidRPr="009754B8">
              <w:rPr>
                <w:rFonts w:ascii="Calibri" w:hAnsi="Calibri"/>
                <w:i/>
                <w:color w:val="365F91"/>
                <w:sz w:val="18"/>
                <w:szCs w:val="18"/>
              </w:rPr>
              <w:t>5,4</w:t>
            </w:r>
          </w:p>
        </w:tc>
        <w:tc>
          <w:tcPr>
            <w:tcW w:w="595" w:type="dxa"/>
            <w:hideMark/>
          </w:tcPr>
          <w:p w14:paraId="084B4BE3" w14:textId="77777777" w:rsidR="00277D18" w:rsidRPr="009754B8" w:rsidRDefault="00277D18" w:rsidP="00D749CD">
            <w:pPr>
              <w:pStyle w:val="Ingetavstnd"/>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i/>
                <w:color w:val="365F91"/>
                <w:sz w:val="18"/>
                <w:szCs w:val="18"/>
              </w:rPr>
            </w:pPr>
            <w:r>
              <w:rPr>
                <w:rFonts w:ascii="Calibri" w:hAnsi="Calibri"/>
                <w:i/>
                <w:color w:val="365F91"/>
                <w:sz w:val="18"/>
                <w:szCs w:val="18"/>
              </w:rPr>
              <w:t>2</w:t>
            </w:r>
            <w:r w:rsidRPr="009754B8">
              <w:rPr>
                <w:rFonts w:ascii="Calibri" w:hAnsi="Calibri"/>
                <w:i/>
                <w:color w:val="365F91"/>
                <w:sz w:val="18"/>
                <w:szCs w:val="18"/>
              </w:rPr>
              <w:t>,</w:t>
            </w:r>
            <w:r>
              <w:rPr>
                <w:rFonts w:ascii="Calibri" w:hAnsi="Calibri"/>
                <w:i/>
                <w:color w:val="365F91"/>
                <w:sz w:val="18"/>
                <w:szCs w:val="18"/>
              </w:rPr>
              <w:t>6</w:t>
            </w:r>
          </w:p>
        </w:tc>
        <w:tc>
          <w:tcPr>
            <w:cnfStyle w:val="000010000000" w:firstRow="0" w:lastRow="0" w:firstColumn="0" w:lastColumn="0" w:oddVBand="1" w:evenVBand="0" w:oddHBand="0" w:evenHBand="0" w:firstRowFirstColumn="0" w:firstRowLastColumn="0" w:lastRowFirstColumn="0" w:lastRowLastColumn="0"/>
            <w:tcW w:w="595" w:type="dxa"/>
            <w:hideMark/>
          </w:tcPr>
          <w:p w14:paraId="4BAAF930" w14:textId="77777777" w:rsidR="00277D18" w:rsidRPr="009754B8" w:rsidRDefault="00277D18" w:rsidP="00D749CD">
            <w:pPr>
              <w:pStyle w:val="Ingetavstnd"/>
              <w:spacing w:line="276" w:lineRule="auto"/>
              <w:jc w:val="center"/>
              <w:rPr>
                <w:rFonts w:ascii="Calibri" w:hAnsi="Calibri"/>
                <w:i/>
                <w:color w:val="365F91"/>
                <w:sz w:val="18"/>
                <w:szCs w:val="18"/>
              </w:rPr>
            </w:pPr>
            <w:r w:rsidRPr="009754B8">
              <w:rPr>
                <w:rFonts w:ascii="Calibri" w:hAnsi="Calibri"/>
                <w:i/>
                <w:color w:val="365F91"/>
                <w:sz w:val="18"/>
                <w:szCs w:val="18"/>
              </w:rPr>
              <w:t>2,</w:t>
            </w:r>
            <w:r>
              <w:rPr>
                <w:rFonts w:ascii="Calibri" w:hAnsi="Calibri"/>
                <w:i/>
                <w:color w:val="365F91"/>
                <w:sz w:val="18"/>
                <w:szCs w:val="18"/>
              </w:rPr>
              <w:t>5</w:t>
            </w:r>
          </w:p>
        </w:tc>
        <w:tc>
          <w:tcPr>
            <w:tcW w:w="595" w:type="dxa"/>
            <w:hideMark/>
          </w:tcPr>
          <w:p w14:paraId="79268957" w14:textId="77777777" w:rsidR="00277D18" w:rsidRPr="009754B8" w:rsidRDefault="00277D18" w:rsidP="00D749CD">
            <w:pPr>
              <w:pStyle w:val="Ingetavstnd"/>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i/>
                <w:color w:val="365F91"/>
                <w:sz w:val="18"/>
                <w:szCs w:val="18"/>
              </w:rPr>
            </w:pPr>
            <w:r w:rsidRPr="009754B8">
              <w:rPr>
                <w:rFonts w:ascii="Calibri" w:hAnsi="Calibri"/>
                <w:i/>
                <w:color w:val="365F91"/>
                <w:sz w:val="18"/>
                <w:szCs w:val="18"/>
              </w:rPr>
              <w:t>2,</w:t>
            </w:r>
            <w:r>
              <w:rPr>
                <w:rFonts w:ascii="Calibri" w:hAnsi="Calibri"/>
                <w:i/>
                <w:color w:val="365F91"/>
                <w:sz w:val="18"/>
                <w:szCs w:val="18"/>
              </w:rPr>
              <w:t>5</w:t>
            </w:r>
          </w:p>
        </w:tc>
        <w:tc>
          <w:tcPr>
            <w:cnfStyle w:val="000010000000" w:firstRow="0" w:lastRow="0" w:firstColumn="0" w:lastColumn="0" w:oddVBand="1" w:evenVBand="0" w:oddHBand="0" w:evenHBand="0" w:firstRowFirstColumn="0" w:firstRowLastColumn="0" w:lastRowFirstColumn="0" w:lastRowLastColumn="0"/>
            <w:tcW w:w="595" w:type="dxa"/>
            <w:hideMark/>
          </w:tcPr>
          <w:p w14:paraId="566FC5D1" w14:textId="77777777" w:rsidR="00277D18" w:rsidRPr="009754B8" w:rsidRDefault="00277D18" w:rsidP="00D749CD">
            <w:pPr>
              <w:pStyle w:val="Ingetavstnd"/>
              <w:spacing w:line="276" w:lineRule="auto"/>
              <w:jc w:val="center"/>
              <w:rPr>
                <w:rFonts w:ascii="Calibri" w:hAnsi="Calibri"/>
                <w:i/>
                <w:color w:val="365F91"/>
                <w:sz w:val="18"/>
                <w:szCs w:val="18"/>
              </w:rPr>
            </w:pPr>
            <w:r w:rsidRPr="009754B8">
              <w:rPr>
                <w:rFonts w:ascii="Calibri" w:hAnsi="Calibri"/>
                <w:i/>
                <w:color w:val="365F91"/>
                <w:sz w:val="18"/>
                <w:szCs w:val="18"/>
              </w:rPr>
              <w:t>2,5</w:t>
            </w:r>
          </w:p>
        </w:tc>
        <w:tc>
          <w:tcPr>
            <w:tcW w:w="595" w:type="dxa"/>
            <w:hideMark/>
          </w:tcPr>
          <w:p w14:paraId="1904BC78" w14:textId="77777777" w:rsidR="00277D18" w:rsidRPr="009754B8" w:rsidRDefault="00277D18" w:rsidP="00D749CD">
            <w:pPr>
              <w:pStyle w:val="Ingetavstnd"/>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i/>
                <w:color w:val="365F91"/>
                <w:sz w:val="18"/>
                <w:szCs w:val="18"/>
              </w:rPr>
            </w:pPr>
            <w:r w:rsidRPr="009754B8">
              <w:rPr>
                <w:rFonts w:ascii="Calibri" w:hAnsi="Calibri"/>
                <w:bCs/>
                <w:i/>
                <w:color w:val="365F91"/>
                <w:sz w:val="18"/>
                <w:szCs w:val="18"/>
              </w:rPr>
              <w:t>2,5</w:t>
            </w:r>
          </w:p>
        </w:tc>
        <w:tc>
          <w:tcPr>
            <w:cnfStyle w:val="000100000000" w:firstRow="0" w:lastRow="0" w:firstColumn="0" w:lastColumn="1" w:oddVBand="0" w:evenVBand="0" w:oddHBand="0" w:evenHBand="0" w:firstRowFirstColumn="0" w:firstRowLastColumn="0" w:lastRowFirstColumn="0" w:lastRowLastColumn="0"/>
            <w:tcW w:w="595" w:type="dxa"/>
            <w:shd w:val="clear" w:color="auto" w:fill="DAEEF3" w:themeFill="accent5" w:themeFillTint="33"/>
          </w:tcPr>
          <w:p w14:paraId="65BEFD64" w14:textId="77777777" w:rsidR="00277D18" w:rsidRPr="009754B8" w:rsidRDefault="00277D18" w:rsidP="00D749CD">
            <w:pPr>
              <w:pStyle w:val="Ingetavstnd"/>
              <w:spacing w:line="276" w:lineRule="auto"/>
              <w:jc w:val="center"/>
              <w:rPr>
                <w:rFonts w:ascii="Calibri" w:hAnsi="Calibri"/>
                <w:bCs w:val="0"/>
                <w:i/>
                <w:color w:val="365F91"/>
                <w:sz w:val="18"/>
                <w:szCs w:val="18"/>
              </w:rPr>
            </w:pPr>
            <w:r w:rsidRPr="009754B8">
              <w:rPr>
                <w:rFonts w:ascii="Calibri" w:hAnsi="Calibri"/>
                <w:i/>
                <w:color w:val="365F91"/>
                <w:sz w:val="18"/>
                <w:szCs w:val="18"/>
              </w:rPr>
              <w:t>2,5</w:t>
            </w:r>
          </w:p>
        </w:tc>
      </w:tr>
      <w:tr w:rsidR="00277D18" w14:paraId="2D99E78C" w14:textId="77777777" w:rsidTr="00D749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hideMark/>
          </w:tcPr>
          <w:p w14:paraId="3F18CA9E" w14:textId="77777777" w:rsidR="00277D18" w:rsidRPr="009754B8" w:rsidRDefault="00277D18" w:rsidP="00D749CD">
            <w:pPr>
              <w:pStyle w:val="Ingetavstnd"/>
              <w:spacing w:line="276" w:lineRule="auto"/>
              <w:jc w:val="both"/>
              <w:rPr>
                <w:rFonts w:ascii="Calibri" w:hAnsi="Calibri"/>
                <w:b w:val="0"/>
                <w:bCs w:val="0"/>
                <w:color w:val="365F91"/>
                <w:sz w:val="18"/>
                <w:szCs w:val="18"/>
              </w:rPr>
            </w:pPr>
            <w:proofErr w:type="spellStart"/>
            <w:r w:rsidRPr="009754B8">
              <w:rPr>
                <w:rFonts w:ascii="Calibri" w:hAnsi="Calibri"/>
                <w:color w:val="365F91"/>
                <w:sz w:val="18"/>
                <w:szCs w:val="18"/>
              </w:rPr>
              <w:t>Arbetslöshet</w:t>
            </w:r>
            <w:proofErr w:type="spellEnd"/>
          </w:p>
        </w:tc>
        <w:tc>
          <w:tcPr>
            <w:cnfStyle w:val="000010000000" w:firstRow="0" w:lastRow="0" w:firstColumn="0" w:lastColumn="0" w:oddVBand="1" w:evenVBand="0" w:oddHBand="0" w:evenHBand="0" w:firstRowFirstColumn="0" w:firstRowLastColumn="0" w:lastRowFirstColumn="0" w:lastRowLastColumn="0"/>
            <w:tcW w:w="595" w:type="dxa"/>
            <w:hideMark/>
          </w:tcPr>
          <w:p w14:paraId="3521E93D" w14:textId="77777777" w:rsidR="00277D18" w:rsidRPr="009754B8" w:rsidRDefault="00277D18" w:rsidP="00D749CD">
            <w:pPr>
              <w:pStyle w:val="Ingetavstnd"/>
              <w:spacing w:line="276" w:lineRule="auto"/>
              <w:jc w:val="center"/>
              <w:rPr>
                <w:rFonts w:ascii="Calibri" w:hAnsi="Calibri"/>
                <w:bCs w:val="0"/>
                <w:color w:val="365F91"/>
                <w:sz w:val="18"/>
                <w:szCs w:val="18"/>
              </w:rPr>
            </w:pPr>
            <w:r w:rsidRPr="009754B8">
              <w:rPr>
                <w:rFonts w:ascii="Calibri" w:hAnsi="Calibri"/>
                <w:color w:val="365F91"/>
                <w:sz w:val="18"/>
                <w:szCs w:val="18"/>
              </w:rPr>
              <w:t>3,1</w:t>
            </w:r>
          </w:p>
        </w:tc>
        <w:tc>
          <w:tcPr>
            <w:tcW w:w="595" w:type="dxa"/>
            <w:hideMark/>
          </w:tcPr>
          <w:p w14:paraId="70FD9AD4" w14:textId="77777777" w:rsidR="00277D18" w:rsidRPr="009754B8" w:rsidRDefault="00277D18" w:rsidP="00D749CD">
            <w:pPr>
              <w:pStyle w:val="Ingetavstnd"/>
              <w:spacing w:line="276" w:lineRule="auto"/>
              <w:jc w:val="center"/>
              <w:cnfStyle w:val="010000000000" w:firstRow="0" w:lastRow="1" w:firstColumn="0" w:lastColumn="0" w:oddVBand="0" w:evenVBand="0" w:oddHBand="0" w:evenHBand="0" w:firstRowFirstColumn="0" w:firstRowLastColumn="0" w:lastRowFirstColumn="0" w:lastRowLastColumn="0"/>
              <w:rPr>
                <w:rFonts w:ascii="Calibri" w:hAnsi="Calibri"/>
                <w:bCs w:val="0"/>
                <w:color w:val="365F91"/>
                <w:sz w:val="18"/>
                <w:szCs w:val="18"/>
              </w:rPr>
            </w:pPr>
            <w:r w:rsidRPr="009754B8">
              <w:rPr>
                <w:rFonts w:ascii="Calibri" w:hAnsi="Calibri"/>
                <w:color w:val="365F91"/>
                <w:sz w:val="18"/>
                <w:szCs w:val="18"/>
              </w:rPr>
              <w:t>2,1</w:t>
            </w:r>
          </w:p>
        </w:tc>
        <w:tc>
          <w:tcPr>
            <w:cnfStyle w:val="000010000000" w:firstRow="0" w:lastRow="0" w:firstColumn="0" w:lastColumn="0" w:oddVBand="1" w:evenVBand="0" w:oddHBand="0" w:evenHBand="0" w:firstRowFirstColumn="0" w:firstRowLastColumn="0" w:lastRowFirstColumn="0" w:lastRowLastColumn="0"/>
            <w:tcW w:w="595" w:type="dxa"/>
            <w:hideMark/>
          </w:tcPr>
          <w:p w14:paraId="4C29B6C5" w14:textId="77777777" w:rsidR="00277D18" w:rsidRPr="009754B8" w:rsidRDefault="00277D18" w:rsidP="00D749CD">
            <w:pPr>
              <w:pStyle w:val="Ingetavstnd"/>
              <w:spacing w:line="276" w:lineRule="auto"/>
              <w:jc w:val="center"/>
              <w:rPr>
                <w:rFonts w:ascii="Calibri" w:hAnsi="Calibri"/>
                <w:bCs w:val="0"/>
                <w:color w:val="365F91"/>
                <w:sz w:val="18"/>
                <w:szCs w:val="18"/>
              </w:rPr>
            </w:pPr>
            <w:r w:rsidRPr="009754B8">
              <w:rPr>
                <w:rFonts w:ascii="Calibri" w:hAnsi="Calibri"/>
                <w:color w:val="365F91"/>
                <w:sz w:val="18"/>
                <w:szCs w:val="18"/>
              </w:rPr>
              <w:t>1,</w:t>
            </w:r>
            <w:r>
              <w:rPr>
                <w:rFonts w:ascii="Calibri" w:hAnsi="Calibri"/>
                <w:color w:val="365F91"/>
                <w:sz w:val="18"/>
                <w:szCs w:val="18"/>
              </w:rPr>
              <w:t>2</w:t>
            </w:r>
          </w:p>
        </w:tc>
        <w:tc>
          <w:tcPr>
            <w:tcW w:w="595" w:type="dxa"/>
            <w:hideMark/>
          </w:tcPr>
          <w:p w14:paraId="775571DD" w14:textId="77777777" w:rsidR="00277D18" w:rsidRPr="009754B8" w:rsidRDefault="00277D18" w:rsidP="00D749CD">
            <w:pPr>
              <w:pStyle w:val="Ingetavstnd"/>
              <w:spacing w:line="276" w:lineRule="auto"/>
              <w:jc w:val="center"/>
              <w:cnfStyle w:val="010000000000" w:firstRow="0" w:lastRow="1" w:firstColumn="0" w:lastColumn="0" w:oddVBand="0" w:evenVBand="0" w:oddHBand="0" w:evenHBand="0" w:firstRowFirstColumn="0" w:firstRowLastColumn="0" w:lastRowFirstColumn="0" w:lastRowLastColumn="0"/>
              <w:rPr>
                <w:rFonts w:ascii="Calibri" w:hAnsi="Calibri"/>
                <w:bCs w:val="0"/>
                <w:i/>
                <w:color w:val="365F91"/>
                <w:sz w:val="18"/>
                <w:szCs w:val="18"/>
              </w:rPr>
            </w:pPr>
            <w:r w:rsidRPr="009754B8">
              <w:rPr>
                <w:rFonts w:ascii="Calibri" w:hAnsi="Calibri"/>
                <w:i/>
                <w:color w:val="365F91"/>
                <w:sz w:val="18"/>
                <w:szCs w:val="18"/>
              </w:rPr>
              <w:t>1,0</w:t>
            </w:r>
          </w:p>
        </w:tc>
        <w:tc>
          <w:tcPr>
            <w:cnfStyle w:val="000010000000" w:firstRow="0" w:lastRow="0" w:firstColumn="0" w:lastColumn="0" w:oddVBand="1" w:evenVBand="0" w:oddHBand="0" w:evenHBand="0" w:firstRowFirstColumn="0" w:firstRowLastColumn="0" w:lastRowFirstColumn="0" w:lastRowLastColumn="0"/>
            <w:tcW w:w="595" w:type="dxa"/>
            <w:hideMark/>
          </w:tcPr>
          <w:p w14:paraId="23FE245F" w14:textId="77777777" w:rsidR="00277D18" w:rsidRPr="009754B8" w:rsidRDefault="00277D18" w:rsidP="00D749CD">
            <w:pPr>
              <w:pStyle w:val="Ingetavstnd"/>
              <w:spacing w:line="276" w:lineRule="auto"/>
              <w:jc w:val="center"/>
              <w:rPr>
                <w:rFonts w:ascii="Calibri" w:hAnsi="Calibri"/>
                <w:bCs w:val="0"/>
                <w:i/>
                <w:color w:val="365F91"/>
                <w:sz w:val="18"/>
                <w:szCs w:val="18"/>
              </w:rPr>
            </w:pPr>
            <w:r w:rsidRPr="009754B8">
              <w:rPr>
                <w:rFonts w:ascii="Calibri" w:hAnsi="Calibri"/>
                <w:i/>
                <w:color w:val="365F91"/>
                <w:sz w:val="18"/>
                <w:szCs w:val="18"/>
              </w:rPr>
              <w:t>1,6</w:t>
            </w:r>
          </w:p>
        </w:tc>
        <w:tc>
          <w:tcPr>
            <w:tcW w:w="595" w:type="dxa"/>
            <w:hideMark/>
          </w:tcPr>
          <w:p w14:paraId="67C6185E" w14:textId="77777777" w:rsidR="00277D18" w:rsidRPr="009754B8" w:rsidRDefault="00277D18" w:rsidP="00D749CD">
            <w:pPr>
              <w:pStyle w:val="Ingetavstnd"/>
              <w:spacing w:line="276" w:lineRule="auto"/>
              <w:jc w:val="center"/>
              <w:cnfStyle w:val="010000000000" w:firstRow="0" w:lastRow="1" w:firstColumn="0" w:lastColumn="0" w:oddVBand="0" w:evenVBand="0" w:oddHBand="0" w:evenHBand="0" w:firstRowFirstColumn="0" w:firstRowLastColumn="0" w:lastRowFirstColumn="0" w:lastRowLastColumn="0"/>
              <w:rPr>
                <w:rFonts w:ascii="Calibri" w:hAnsi="Calibri"/>
                <w:bCs w:val="0"/>
                <w:i/>
                <w:color w:val="365F91"/>
                <w:sz w:val="18"/>
                <w:szCs w:val="18"/>
              </w:rPr>
            </w:pPr>
            <w:r w:rsidRPr="009754B8">
              <w:rPr>
                <w:rFonts w:ascii="Calibri" w:hAnsi="Calibri"/>
                <w:i/>
                <w:color w:val="365F91"/>
                <w:sz w:val="18"/>
                <w:szCs w:val="18"/>
              </w:rPr>
              <w:t>8,0</w:t>
            </w:r>
          </w:p>
        </w:tc>
        <w:tc>
          <w:tcPr>
            <w:cnfStyle w:val="000010000000" w:firstRow="0" w:lastRow="0" w:firstColumn="0" w:lastColumn="0" w:oddVBand="1" w:evenVBand="0" w:oddHBand="0" w:evenHBand="0" w:firstRowFirstColumn="0" w:firstRowLastColumn="0" w:lastRowFirstColumn="0" w:lastRowLastColumn="0"/>
            <w:tcW w:w="595" w:type="dxa"/>
            <w:hideMark/>
          </w:tcPr>
          <w:p w14:paraId="35A1AF68" w14:textId="77777777" w:rsidR="00277D18" w:rsidRPr="009754B8" w:rsidRDefault="00277D18" w:rsidP="00D749CD">
            <w:pPr>
              <w:pStyle w:val="Ingetavstnd"/>
              <w:spacing w:line="276" w:lineRule="auto"/>
              <w:jc w:val="center"/>
              <w:rPr>
                <w:rFonts w:ascii="Calibri" w:hAnsi="Calibri"/>
                <w:bCs w:val="0"/>
                <w:i/>
                <w:color w:val="365F91"/>
                <w:sz w:val="18"/>
                <w:szCs w:val="18"/>
              </w:rPr>
            </w:pPr>
            <w:r w:rsidRPr="009754B8">
              <w:rPr>
                <w:rFonts w:ascii="Calibri" w:hAnsi="Calibri"/>
                <w:i/>
                <w:color w:val="365F91"/>
                <w:sz w:val="18"/>
                <w:szCs w:val="18"/>
              </w:rPr>
              <w:t>8,1</w:t>
            </w:r>
          </w:p>
        </w:tc>
        <w:tc>
          <w:tcPr>
            <w:tcW w:w="595" w:type="dxa"/>
            <w:hideMark/>
          </w:tcPr>
          <w:p w14:paraId="16D2F9C8" w14:textId="77777777" w:rsidR="00277D18" w:rsidRPr="009754B8" w:rsidRDefault="00277D18" w:rsidP="00D749CD">
            <w:pPr>
              <w:pStyle w:val="Ingetavstnd"/>
              <w:spacing w:line="276" w:lineRule="auto"/>
              <w:jc w:val="center"/>
              <w:cnfStyle w:val="010000000000" w:firstRow="0" w:lastRow="1" w:firstColumn="0" w:lastColumn="0" w:oddVBand="0" w:evenVBand="0" w:oddHBand="0" w:evenHBand="0" w:firstRowFirstColumn="0" w:firstRowLastColumn="0" w:lastRowFirstColumn="0" w:lastRowLastColumn="0"/>
              <w:rPr>
                <w:rFonts w:ascii="Calibri" w:hAnsi="Calibri"/>
                <w:bCs w:val="0"/>
                <w:i/>
                <w:color w:val="365F91"/>
                <w:sz w:val="18"/>
                <w:szCs w:val="18"/>
              </w:rPr>
            </w:pPr>
            <w:r w:rsidRPr="009754B8">
              <w:rPr>
                <w:rFonts w:ascii="Calibri" w:hAnsi="Calibri"/>
                <w:i/>
                <w:color w:val="365F91"/>
                <w:sz w:val="18"/>
                <w:szCs w:val="18"/>
              </w:rPr>
              <w:t>7,3</w:t>
            </w:r>
          </w:p>
        </w:tc>
        <w:tc>
          <w:tcPr>
            <w:cnfStyle w:val="000010000000" w:firstRow="0" w:lastRow="0" w:firstColumn="0" w:lastColumn="0" w:oddVBand="1" w:evenVBand="0" w:oddHBand="0" w:evenHBand="0" w:firstRowFirstColumn="0" w:firstRowLastColumn="0" w:lastRowFirstColumn="0" w:lastRowLastColumn="0"/>
            <w:tcW w:w="595" w:type="dxa"/>
            <w:hideMark/>
          </w:tcPr>
          <w:p w14:paraId="36C52EB2" w14:textId="77777777" w:rsidR="00277D18" w:rsidRPr="009754B8" w:rsidRDefault="00277D18" w:rsidP="00D749CD">
            <w:pPr>
              <w:pStyle w:val="Ingetavstnd"/>
              <w:spacing w:line="276" w:lineRule="auto"/>
              <w:jc w:val="center"/>
              <w:rPr>
                <w:rFonts w:ascii="Calibri" w:hAnsi="Calibri"/>
                <w:bCs w:val="0"/>
                <w:i/>
                <w:color w:val="365F91"/>
                <w:sz w:val="18"/>
                <w:szCs w:val="18"/>
              </w:rPr>
            </w:pPr>
            <w:r w:rsidRPr="009754B8">
              <w:rPr>
                <w:rFonts w:ascii="Calibri" w:hAnsi="Calibri"/>
                <w:i/>
                <w:color w:val="365F91"/>
                <w:sz w:val="18"/>
                <w:szCs w:val="18"/>
              </w:rPr>
              <w:t>6</w:t>
            </w:r>
            <w:r>
              <w:rPr>
                <w:rFonts w:ascii="Calibri" w:hAnsi="Calibri"/>
                <w:i/>
                <w:color w:val="365F91"/>
                <w:sz w:val="18"/>
                <w:szCs w:val="18"/>
              </w:rPr>
              <w:t>,1</w:t>
            </w:r>
          </w:p>
        </w:tc>
        <w:tc>
          <w:tcPr>
            <w:tcW w:w="595" w:type="dxa"/>
            <w:hideMark/>
          </w:tcPr>
          <w:p w14:paraId="459D2F9E" w14:textId="77777777" w:rsidR="00277D18" w:rsidRPr="009754B8" w:rsidRDefault="00277D18" w:rsidP="00D749CD">
            <w:pPr>
              <w:pStyle w:val="Ingetavstnd"/>
              <w:spacing w:line="276" w:lineRule="auto"/>
              <w:jc w:val="center"/>
              <w:cnfStyle w:val="010000000000" w:firstRow="0" w:lastRow="1" w:firstColumn="0" w:lastColumn="0" w:oddVBand="0" w:evenVBand="0" w:oddHBand="0" w:evenHBand="0" w:firstRowFirstColumn="0" w:firstRowLastColumn="0" w:lastRowFirstColumn="0" w:lastRowLastColumn="0"/>
              <w:rPr>
                <w:rFonts w:ascii="Calibri" w:hAnsi="Calibri"/>
                <w:bCs w:val="0"/>
                <w:i/>
                <w:color w:val="365F91"/>
                <w:sz w:val="18"/>
                <w:szCs w:val="18"/>
              </w:rPr>
            </w:pPr>
            <w:r>
              <w:rPr>
                <w:rFonts w:ascii="Calibri" w:hAnsi="Calibri"/>
                <w:i/>
                <w:color w:val="365F91"/>
                <w:sz w:val="18"/>
                <w:szCs w:val="18"/>
              </w:rPr>
              <w:t>5</w:t>
            </w:r>
            <w:r w:rsidRPr="009754B8">
              <w:rPr>
                <w:rFonts w:ascii="Calibri" w:hAnsi="Calibri"/>
                <w:i/>
                <w:color w:val="365F91"/>
                <w:sz w:val="18"/>
                <w:szCs w:val="18"/>
              </w:rPr>
              <w:t>,</w:t>
            </w:r>
            <w:r>
              <w:rPr>
                <w:rFonts w:ascii="Calibri" w:hAnsi="Calibri"/>
                <w:i/>
                <w:color w:val="365F91"/>
                <w:sz w:val="18"/>
                <w:szCs w:val="18"/>
              </w:rPr>
              <w:t>5</w:t>
            </w:r>
          </w:p>
        </w:tc>
        <w:tc>
          <w:tcPr>
            <w:cnfStyle w:val="000010000000" w:firstRow="0" w:lastRow="0" w:firstColumn="0" w:lastColumn="0" w:oddVBand="1" w:evenVBand="0" w:oddHBand="0" w:evenHBand="0" w:firstRowFirstColumn="0" w:firstRowLastColumn="0" w:lastRowFirstColumn="0" w:lastRowLastColumn="0"/>
            <w:tcW w:w="595" w:type="dxa"/>
            <w:hideMark/>
          </w:tcPr>
          <w:p w14:paraId="3A3888C8" w14:textId="77777777" w:rsidR="00277D18" w:rsidRPr="009754B8" w:rsidRDefault="00277D18" w:rsidP="00D749CD">
            <w:pPr>
              <w:pStyle w:val="Ingetavstnd"/>
              <w:spacing w:line="276" w:lineRule="auto"/>
              <w:jc w:val="center"/>
              <w:rPr>
                <w:rFonts w:ascii="Calibri" w:hAnsi="Calibri"/>
                <w:bCs w:val="0"/>
                <w:i/>
                <w:color w:val="365F91"/>
                <w:sz w:val="18"/>
                <w:szCs w:val="18"/>
              </w:rPr>
            </w:pPr>
            <w:r>
              <w:rPr>
                <w:rFonts w:ascii="Calibri" w:hAnsi="Calibri"/>
                <w:i/>
                <w:color w:val="365F91"/>
                <w:sz w:val="18"/>
                <w:szCs w:val="18"/>
              </w:rPr>
              <w:t>5</w:t>
            </w:r>
            <w:r w:rsidRPr="009754B8">
              <w:rPr>
                <w:rFonts w:ascii="Calibri" w:hAnsi="Calibri"/>
                <w:i/>
                <w:color w:val="365F91"/>
                <w:sz w:val="18"/>
                <w:szCs w:val="18"/>
              </w:rPr>
              <w:t>,3</w:t>
            </w:r>
          </w:p>
        </w:tc>
        <w:tc>
          <w:tcPr>
            <w:tcW w:w="595" w:type="dxa"/>
            <w:hideMark/>
          </w:tcPr>
          <w:p w14:paraId="25E425F8" w14:textId="77777777" w:rsidR="00277D18" w:rsidRPr="009754B8" w:rsidRDefault="00277D18" w:rsidP="00D749CD">
            <w:pPr>
              <w:pStyle w:val="Ingetavstnd"/>
              <w:spacing w:line="276" w:lineRule="auto"/>
              <w:jc w:val="center"/>
              <w:cnfStyle w:val="010000000000" w:firstRow="0" w:lastRow="1" w:firstColumn="0" w:lastColumn="0" w:oddVBand="0" w:evenVBand="0" w:oddHBand="0" w:evenHBand="0" w:firstRowFirstColumn="0" w:firstRowLastColumn="0" w:lastRowFirstColumn="0" w:lastRowLastColumn="0"/>
              <w:rPr>
                <w:rFonts w:ascii="Calibri" w:hAnsi="Calibri"/>
                <w:bCs w:val="0"/>
                <w:i/>
                <w:color w:val="365F91"/>
                <w:sz w:val="18"/>
                <w:szCs w:val="18"/>
              </w:rPr>
            </w:pPr>
            <w:r w:rsidRPr="009754B8">
              <w:rPr>
                <w:rFonts w:ascii="Calibri" w:hAnsi="Calibri"/>
                <w:i/>
                <w:color w:val="365F91"/>
                <w:sz w:val="18"/>
                <w:szCs w:val="18"/>
              </w:rPr>
              <w:t>4,</w:t>
            </w:r>
            <w:r>
              <w:rPr>
                <w:rFonts w:ascii="Calibri" w:hAnsi="Calibri"/>
                <w:i/>
                <w:color w:val="365F91"/>
                <w:sz w:val="18"/>
                <w:szCs w:val="18"/>
              </w:rPr>
              <w:t>8</w:t>
            </w:r>
          </w:p>
        </w:tc>
        <w:tc>
          <w:tcPr>
            <w:cnfStyle w:val="000100000000" w:firstRow="0" w:lastRow="0" w:firstColumn="0" w:lastColumn="1" w:oddVBand="0" w:evenVBand="0" w:oddHBand="0" w:evenHBand="0" w:firstRowFirstColumn="0" w:firstRowLastColumn="0" w:lastRowFirstColumn="0" w:lastRowLastColumn="0"/>
            <w:tcW w:w="595" w:type="dxa"/>
            <w:shd w:val="clear" w:color="auto" w:fill="DAEEF3" w:themeFill="accent5" w:themeFillTint="33"/>
          </w:tcPr>
          <w:p w14:paraId="3C914F3F" w14:textId="77777777" w:rsidR="00277D18" w:rsidRPr="009754B8" w:rsidRDefault="00277D18" w:rsidP="00D749CD">
            <w:pPr>
              <w:pStyle w:val="Ingetavstnd"/>
              <w:spacing w:line="276" w:lineRule="auto"/>
              <w:jc w:val="center"/>
              <w:rPr>
                <w:rFonts w:ascii="Calibri" w:hAnsi="Calibri"/>
                <w:bCs w:val="0"/>
                <w:i/>
                <w:color w:val="365F91"/>
                <w:sz w:val="18"/>
                <w:szCs w:val="18"/>
              </w:rPr>
            </w:pPr>
            <w:r w:rsidRPr="009754B8">
              <w:rPr>
                <w:rFonts w:ascii="Calibri" w:hAnsi="Calibri"/>
                <w:i/>
                <w:color w:val="365F91"/>
                <w:sz w:val="18"/>
                <w:szCs w:val="18"/>
              </w:rPr>
              <w:t>4,</w:t>
            </w:r>
            <w:r>
              <w:rPr>
                <w:rFonts w:ascii="Calibri" w:hAnsi="Calibri"/>
                <w:i/>
                <w:color w:val="365F91"/>
                <w:sz w:val="18"/>
                <w:szCs w:val="18"/>
              </w:rPr>
              <w:t>3</w:t>
            </w:r>
          </w:p>
        </w:tc>
      </w:tr>
    </w:tbl>
    <w:p w14:paraId="0454C087" w14:textId="77777777" w:rsidR="00277D18" w:rsidRDefault="00277D18" w:rsidP="00277D18">
      <w:pPr>
        <w:pStyle w:val="Ingetavstnd"/>
        <w:jc w:val="both"/>
        <w:rPr>
          <w:rFonts w:ascii="Calibri" w:hAnsi="Calibri"/>
          <w:i/>
          <w:sz w:val="18"/>
          <w:szCs w:val="18"/>
          <w:lang w:val="sv-SE"/>
        </w:rPr>
      </w:pPr>
      <w:r>
        <w:rPr>
          <w:rFonts w:ascii="Calibri" w:hAnsi="Calibri"/>
          <w:i/>
          <w:sz w:val="18"/>
          <w:szCs w:val="18"/>
          <w:lang w:val="sv-SE"/>
        </w:rPr>
        <w:t>Källa: Hagstofa Íslands (Islands Statistikbyrå) och Seðlabanki Íslands (Islands Centralbank).</w:t>
      </w:r>
    </w:p>
    <w:p w14:paraId="426AA647" w14:textId="77777777" w:rsidR="00277D18" w:rsidRDefault="00277D18" w:rsidP="00277D18">
      <w:pPr>
        <w:pStyle w:val="Ingetavstnd"/>
        <w:jc w:val="both"/>
        <w:rPr>
          <w:rFonts w:ascii="Calibri" w:hAnsi="Calibri"/>
          <w:i/>
          <w:sz w:val="18"/>
          <w:szCs w:val="18"/>
          <w:lang w:val="sv-SE"/>
        </w:rPr>
      </w:pPr>
    </w:p>
    <w:p w14:paraId="1079C438" w14:textId="77777777" w:rsidR="00277D18" w:rsidRDefault="00277D18" w:rsidP="00277D18">
      <w:pPr>
        <w:autoSpaceDE w:val="0"/>
        <w:autoSpaceDN w:val="0"/>
        <w:adjustRightInd w:val="0"/>
        <w:jc w:val="both"/>
        <w:rPr>
          <w:rFonts w:asciiTheme="minorHAnsi" w:hAnsiTheme="minorHAnsi" w:cs="Times New Roman"/>
          <w:lang w:eastAsia="en-US"/>
        </w:rPr>
      </w:pPr>
      <w:r>
        <w:rPr>
          <w:rFonts w:asciiTheme="minorHAnsi" w:hAnsiTheme="minorHAnsi" w:cs="Times New Roman"/>
          <w:lang w:eastAsia="en-US"/>
        </w:rPr>
        <w:t xml:space="preserve">Inflationen var de första månaderna av 2011 den lägsta sedan 2004. Även om både investeringarna och konsumtionen väntas öka, då kommer denna tillväxt att stanna på en tämligen låg nivå och så pass mycket undertryck </w:t>
      </w:r>
      <w:r w:rsidR="00887A9F">
        <w:rPr>
          <w:rFonts w:asciiTheme="minorHAnsi" w:hAnsiTheme="minorHAnsi" w:cs="Times New Roman"/>
          <w:lang w:eastAsia="en-US"/>
        </w:rPr>
        <w:t xml:space="preserve">vara </w:t>
      </w:r>
      <w:r>
        <w:rPr>
          <w:rFonts w:asciiTheme="minorHAnsi" w:hAnsiTheme="minorHAnsi" w:cs="Times New Roman"/>
          <w:lang w:eastAsia="en-US"/>
        </w:rPr>
        <w:t>i ekonomin att inflationen väntas fortsätta ligga på en låg nivå de närmaste åren. Kronans nominella kurs förstärktes något år 2010 och ännu mer i reala termer.</w:t>
      </w:r>
    </w:p>
    <w:p w14:paraId="2A694454" w14:textId="77777777" w:rsidR="00277D18" w:rsidRDefault="00277D18" w:rsidP="00277D18">
      <w:pPr>
        <w:autoSpaceDE w:val="0"/>
        <w:autoSpaceDN w:val="0"/>
        <w:adjustRightInd w:val="0"/>
        <w:jc w:val="both"/>
        <w:rPr>
          <w:rFonts w:asciiTheme="minorHAnsi" w:hAnsiTheme="minorHAnsi" w:cs="Times New Roman"/>
          <w:lang w:eastAsia="en-US"/>
        </w:rPr>
      </w:pPr>
    </w:p>
    <w:p w14:paraId="236F15E5" w14:textId="77777777" w:rsidR="00277D18" w:rsidRDefault="00277D18" w:rsidP="00277D18">
      <w:pPr>
        <w:autoSpaceDE w:val="0"/>
        <w:autoSpaceDN w:val="0"/>
        <w:adjustRightInd w:val="0"/>
        <w:jc w:val="both"/>
        <w:rPr>
          <w:rFonts w:asciiTheme="minorHAnsi" w:hAnsiTheme="minorHAnsi" w:cs="Times New Roman"/>
          <w:lang w:eastAsia="en-US"/>
        </w:rPr>
      </w:pPr>
      <w:r>
        <w:rPr>
          <w:rFonts w:asciiTheme="minorHAnsi" w:hAnsiTheme="minorHAnsi" w:cs="Times New Roman"/>
          <w:lang w:eastAsia="en-US"/>
        </w:rPr>
        <w:t xml:space="preserve">Arbetslösheten 2010 ändrades litet jämfört med 2009, trots den fortsatta BNP-minskningen. Långtidsprognosen till 2016 går ut på att BNP växer tillräckligt för att arbetslösheten skall fortsätta att sjunka till prognosperiodens slut. Man räknar dock med att den minskar mindre än </w:t>
      </w:r>
      <w:r w:rsidR="00887A9F">
        <w:rPr>
          <w:rFonts w:asciiTheme="minorHAnsi" w:hAnsiTheme="minorHAnsi" w:cs="Times New Roman"/>
          <w:lang w:eastAsia="en-US"/>
        </w:rPr>
        <w:t xml:space="preserve">enligt </w:t>
      </w:r>
      <w:r>
        <w:rPr>
          <w:rFonts w:asciiTheme="minorHAnsi" w:hAnsiTheme="minorHAnsi" w:cs="Times New Roman"/>
          <w:lang w:eastAsia="en-US"/>
        </w:rPr>
        <w:t>tidigare progno</w:t>
      </w:r>
      <w:r w:rsidR="00040FAD">
        <w:rPr>
          <w:rFonts w:asciiTheme="minorHAnsi" w:hAnsiTheme="minorHAnsi" w:cs="Times New Roman"/>
          <w:lang w:eastAsia="en-US"/>
        </w:rPr>
        <w:t>s</w:t>
      </w:r>
      <w:r>
        <w:rPr>
          <w:rFonts w:asciiTheme="minorHAnsi" w:hAnsiTheme="minorHAnsi" w:cs="Times New Roman"/>
          <w:lang w:eastAsia="en-US"/>
        </w:rPr>
        <w:t>er.</w:t>
      </w:r>
    </w:p>
    <w:p w14:paraId="77A7C1B0" w14:textId="77777777" w:rsidR="00277D18" w:rsidRDefault="00277D18" w:rsidP="00277D18">
      <w:pPr>
        <w:autoSpaceDE w:val="0"/>
        <w:autoSpaceDN w:val="0"/>
        <w:adjustRightInd w:val="0"/>
        <w:jc w:val="both"/>
        <w:rPr>
          <w:rFonts w:asciiTheme="minorHAnsi" w:hAnsiTheme="minorHAnsi" w:cs="Times New Roman"/>
          <w:lang w:eastAsia="en-US"/>
        </w:rPr>
      </w:pPr>
    </w:p>
    <w:p w14:paraId="79BE726C" w14:textId="77777777" w:rsidR="00277D18" w:rsidRDefault="00277D18" w:rsidP="00277D18">
      <w:pPr>
        <w:autoSpaceDE w:val="0"/>
        <w:autoSpaceDN w:val="0"/>
        <w:adjustRightInd w:val="0"/>
        <w:jc w:val="both"/>
        <w:rPr>
          <w:rFonts w:asciiTheme="minorHAnsi" w:hAnsiTheme="minorHAnsi" w:cs="Times New Roman"/>
          <w:lang w:eastAsia="en-US"/>
        </w:rPr>
      </w:pPr>
      <w:r>
        <w:rPr>
          <w:rFonts w:asciiTheme="minorHAnsi" w:hAnsiTheme="minorHAnsi" w:cs="Times New Roman"/>
          <w:lang w:eastAsia="en-US"/>
        </w:rPr>
        <w:t>Privatkonsumtionen har minskat med 23 procent från höjdpunkten 2007</w:t>
      </w:r>
      <w:r w:rsidR="00887A9F">
        <w:rPr>
          <w:rFonts w:asciiTheme="minorHAnsi" w:hAnsiTheme="minorHAnsi" w:cs="Times New Roman"/>
          <w:lang w:eastAsia="en-US"/>
        </w:rPr>
        <w:t>,</w:t>
      </w:r>
      <w:r>
        <w:rPr>
          <w:rFonts w:asciiTheme="minorHAnsi" w:hAnsiTheme="minorHAnsi" w:cs="Times New Roman"/>
          <w:lang w:eastAsia="en-US"/>
        </w:rPr>
        <w:t xml:space="preserve"> </w:t>
      </w:r>
      <w:r w:rsidR="00887A9F">
        <w:rPr>
          <w:rFonts w:asciiTheme="minorHAnsi" w:hAnsiTheme="minorHAnsi" w:cs="Times New Roman"/>
          <w:lang w:eastAsia="en-US"/>
        </w:rPr>
        <w:t>men</w:t>
      </w:r>
      <w:r>
        <w:rPr>
          <w:rFonts w:asciiTheme="minorHAnsi" w:hAnsiTheme="minorHAnsi" w:cs="Times New Roman"/>
          <w:lang w:eastAsia="en-US"/>
        </w:rPr>
        <w:t xml:space="preserve"> har sedan mitten av 2010 börjat öka igen.</w:t>
      </w:r>
    </w:p>
    <w:p w14:paraId="1A38923F" w14:textId="77777777" w:rsidR="00277D18" w:rsidRDefault="00277D18" w:rsidP="00277D18">
      <w:pPr>
        <w:autoSpaceDE w:val="0"/>
        <w:autoSpaceDN w:val="0"/>
        <w:adjustRightInd w:val="0"/>
        <w:jc w:val="both"/>
        <w:rPr>
          <w:rFonts w:asciiTheme="minorHAnsi" w:hAnsiTheme="minorHAnsi" w:cs="Times New Roman"/>
          <w:lang w:eastAsia="en-US"/>
        </w:rPr>
      </w:pPr>
    </w:p>
    <w:p w14:paraId="074F3BDA" w14:textId="77777777" w:rsidR="00277D18" w:rsidRDefault="00277D18" w:rsidP="00277D18">
      <w:pPr>
        <w:autoSpaceDE w:val="0"/>
        <w:autoSpaceDN w:val="0"/>
        <w:adjustRightInd w:val="0"/>
        <w:jc w:val="both"/>
        <w:rPr>
          <w:rFonts w:asciiTheme="minorHAnsi" w:hAnsiTheme="minorHAnsi" w:cs="Times New Roman"/>
          <w:lang w:eastAsia="en-US"/>
        </w:rPr>
      </w:pPr>
      <w:r>
        <w:rPr>
          <w:rFonts w:asciiTheme="minorHAnsi" w:hAnsiTheme="minorHAnsi" w:cs="Times New Roman"/>
          <w:lang w:eastAsia="en-US"/>
        </w:rPr>
        <w:t>På den politiska arenan fortsätter dramatiken som påbörjades med bankkollapsen i början av oktober 2008. En ny höjdpunkt nåddes den 9 april, då ett nytt Icesave-avtal med Storbritan</w:t>
      </w:r>
      <w:r w:rsidR="00D475D5">
        <w:rPr>
          <w:rFonts w:asciiTheme="minorHAnsi" w:hAnsiTheme="minorHAnsi" w:cs="Times New Roman"/>
          <w:lang w:eastAsia="en-US"/>
        </w:rPr>
        <w:t>n</w:t>
      </w:r>
      <w:r>
        <w:rPr>
          <w:rFonts w:asciiTheme="minorHAnsi" w:hAnsiTheme="minorHAnsi" w:cs="Times New Roman"/>
          <w:lang w:eastAsia="en-US"/>
        </w:rPr>
        <w:t xml:space="preserve">ien och Nederländerna röstades ned i en folkomröstning. Röstsiffrorna blev 59,7 procent mot och 40,1 procent med. Vid den tidigare folkomröstningen </w:t>
      </w:r>
      <w:r w:rsidR="0003071D">
        <w:rPr>
          <w:rFonts w:asciiTheme="minorHAnsi" w:hAnsiTheme="minorHAnsi" w:cs="Times New Roman"/>
          <w:lang w:eastAsia="en-US"/>
        </w:rPr>
        <w:t>den 6</w:t>
      </w:r>
      <w:r>
        <w:rPr>
          <w:rFonts w:asciiTheme="minorHAnsi" w:hAnsiTheme="minorHAnsi" w:cs="Times New Roman"/>
          <w:lang w:eastAsia="en-US"/>
        </w:rPr>
        <w:t xml:space="preserve"> mars 2010 </w:t>
      </w:r>
      <w:r>
        <w:rPr>
          <w:rFonts w:asciiTheme="minorHAnsi" w:hAnsiTheme="minorHAnsi" w:cs="Times New Roman"/>
          <w:lang w:eastAsia="en-US"/>
        </w:rPr>
        <w:lastRenderedPageBreak/>
        <w:t>hade endast 1,8 procent av de som deltog i valet röstat med det dåvarande Icesave</w:t>
      </w:r>
      <w:r w:rsidR="00842127">
        <w:rPr>
          <w:rFonts w:asciiTheme="minorHAnsi" w:hAnsiTheme="minorHAnsi" w:cs="Times New Roman"/>
          <w:lang w:eastAsia="en-US"/>
        </w:rPr>
        <w:t>-</w:t>
      </w:r>
      <w:r>
        <w:rPr>
          <w:rFonts w:asciiTheme="minorHAnsi" w:hAnsiTheme="minorHAnsi" w:cs="Times New Roman"/>
          <w:lang w:eastAsia="en-US"/>
        </w:rPr>
        <w:t>avtalet</w:t>
      </w:r>
      <w:r w:rsidR="00842127">
        <w:rPr>
          <w:rFonts w:asciiTheme="minorHAnsi" w:hAnsiTheme="minorHAnsi" w:cs="Times New Roman"/>
          <w:lang w:eastAsia="en-US"/>
        </w:rPr>
        <w:t>.</w:t>
      </w:r>
      <w:r>
        <w:rPr>
          <w:rStyle w:val="Fotnotsreferens"/>
          <w:rFonts w:asciiTheme="minorHAnsi" w:hAnsiTheme="minorHAnsi" w:cs="Times New Roman"/>
          <w:lang w:eastAsia="en-US"/>
        </w:rPr>
        <w:footnoteReference w:id="1"/>
      </w:r>
      <w:r>
        <w:rPr>
          <w:rFonts w:asciiTheme="minorHAnsi" w:hAnsiTheme="minorHAnsi" w:cs="Times New Roman"/>
          <w:lang w:eastAsia="en-US"/>
        </w:rPr>
        <w:t xml:space="preserve"> En annan skillnad mellan de två omröstningarna var att vid det </w:t>
      </w:r>
      <w:r w:rsidR="00493C4B">
        <w:rPr>
          <w:rFonts w:asciiTheme="minorHAnsi" w:hAnsiTheme="minorHAnsi" w:cs="Times New Roman"/>
          <w:lang w:eastAsia="en-US"/>
        </w:rPr>
        <w:t xml:space="preserve">senare </w:t>
      </w:r>
      <w:r>
        <w:rPr>
          <w:rFonts w:asciiTheme="minorHAnsi" w:hAnsiTheme="minorHAnsi" w:cs="Times New Roman"/>
          <w:lang w:eastAsia="en-US"/>
        </w:rPr>
        <w:t>tillfället gick presidenten emot mer än 2/3 delar av parlamentet när han för andra gången använde sin vetorätt mot ett Icesave-avtal.</w:t>
      </w:r>
    </w:p>
    <w:p w14:paraId="05B7E02F" w14:textId="77777777" w:rsidR="00277D18" w:rsidRDefault="00277D18" w:rsidP="00277D18">
      <w:pPr>
        <w:autoSpaceDE w:val="0"/>
        <w:autoSpaceDN w:val="0"/>
        <w:adjustRightInd w:val="0"/>
        <w:jc w:val="both"/>
        <w:rPr>
          <w:rFonts w:asciiTheme="minorHAnsi" w:hAnsiTheme="minorHAnsi" w:cs="Times New Roman"/>
          <w:lang w:eastAsia="en-US"/>
        </w:rPr>
      </w:pPr>
    </w:p>
    <w:p w14:paraId="7A201136" w14:textId="77777777" w:rsidR="00277D18" w:rsidRDefault="00277D18" w:rsidP="00277D18">
      <w:pPr>
        <w:autoSpaceDE w:val="0"/>
        <w:autoSpaceDN w:val="0"/>
        <w:adjustRightInd w:val="0"/>
        <w:jc w:val="both"/>
        <w:rPr>
          <w:rFonts w:asciiTheme="minorHAnsi" w:hAnsiTheme="minorHAnsi" w:cs="Times New Roman"/>
          <w:lang w:eastAsia="en-US"/>
        </w:rPr>
      </w:pPr>
      <w:r>
        <w:rPr>
          <w:rFonts w:asciiTheme="minorHAnsi" w:hAnsiTheme="minorHAnsi" w:cs="Times New Roman"/>
          <w:lang w:eastAsia="en-US"/>
        </w:rPr>
        <w:t xml:space="preserve">Den sittande vänsterregeringens majoritet försvagades under våren när tre av det vänstergröna partiets ledamöter lämnade partiets parlamentariska grupp. Därmed minskade de två regeringspartiernas, socialdemokraternas och de vänstergrönas, </w:t>
      </w:r>
      <w:r w:rsidR="00493C4B">
        <w:rPr>
          <w:rFonts w:asciiTheme="minorHAnsi" w:hAnsiTheme="minorHAnsi" w:cs="Times New Roman"/>
          <w:lang w:eastAsia="en-US"/>
        </w:rPr>
        <w:t xml:space="preserve">majoritet </w:t>
      </w:r>
      <w:r>
        <w:rPr>
          <w:rFonts w:asciiTheme="minorHAnsi" w:hAnsiTheme="minorHAnsi" w:cs="Times New Roman"/>
          <w:lang w:eastAsia="en-US"/>
        </w:rPr>
        <w:t>från 35 till 32, dvs</w:t>
      </w:r>
      <w:r w:rsidR="00887A9F">
        <w:rPr>
          <w:rFonts w:asciiTheme="minorHAnsi" w:hAnsiTheme="minorHAnsi" w:cs="Times New Roman"/>
          <w:lang w:eastAsia="en-US"/>
        </w:rPr>
        <w:t>.</w:t>
      </w:r>
      <w:r>
        <w:rPr>
          <w:rFonts w:asciiTheme="minorHAnsi" w:hAnsiTheme="minorHAnsi" w:cs="Times New Roman"/>
          <w:lang w:eastAsia="en-US"/>
        </w:rPr>
        <w:t xml:space="preserve"> en marginal på endast ett mandat (32-31). Regeringens majoritet höll </w:t>
      </w:r>
      <w:r w:rsidR="00493C4B">
        <w:rPr>
          <w:rFonts w:asciiTheme="minorHAnsi" w:hAnsiTheme="minorHAnsi" w:cs="Times New Roman"/>
          <w:lang w:eastAsia="en-US"/>
        </w:rPr>
        <w:t xml:space="preserve">i </w:t>
      </w:r>
      <w:r>
        <w:rPr>
          <w:rFonts w:asciiTheme="minorHAnsi" w:hAnsiTheme="minorHAnsi" w:cs="Times New Roman"/>
          <w:lang w:eastAsia="en-US"/>
        </w:rPr>
        <w:t>enlig</w:t>
      </w:r>
      <w:r w:rsidR="00493C4B">
        <w:rPr>
          <w:rFonts w:asciiTheme="minorHAnsi" w:hAnsiTheme="minorHAnsi" w:cs="Times New Roman"/>
          <w:lang w:eastAsia="en-US"/>
        </w:rPr>
        <w:t>he</w:t>
      </w:r>
      <w:r>
        <w:rPr>
          <w:rFonts w:asciiTheme="minorHAnsi" w:hAnsiTheme="minorHAnsi" w:cs="Times New Roman"/>
          <w:lang w:eastAsia="en-US"/>
        </w:rPr>
        <w:t>t detta med minsta möjliga marginal i ett mistroendvotum i början av april.</w:t>
      </w:r>
    </w:p>
    <w:p w14:paraId="3B412FEA" w14:textId="77777777" w:rsidR="00277D18" w:rsidRDefault="00277D18" w:rsidP="00277D18">
      <w:pPr>
        <w:autoSpaceDE w:val="0"/>
        <w:autoSpaceDN w:val="0"/>
        <w:adjustRightInd w:val="0"/>
        <w:jc w:val="both"/>
        <w:rPr>
          <w:rFonts w:asciiTheme="minorHAnsi" w:hAnsiTheme="minorHAnsi" w:cs="Times New Roman"/>
          <w:lang w:eastAsia="en-US"/>
        </w:rPr>
      </w:pPr>
    </w:p>
    <w:p w14:paraId="4ED8020B" w14:textId="77777777" w:rsidR="00277D18" w:rsidRDefault="00277D18" w:rsidP="00277D18">
      <w:pPr>
        <w:autoSpaceDE w:val="0"/>
        <w:autoSpaceDN w:val="0"/>
        <w:adjustRightInd w:val="0"/>
        <w:jc w:val="both"/>
        <w:rPr>
          <w:rFonts w:asciiTheme="minorHAnsi" w:hAnsiTheme="minorHAnsi" w:cs="Times New Roman"/>
          <w:lang w:eastAsia="en-US"/>
        </w:rPr>
      </w:pPr>
      <w:r>
        <w:rPr>
          <w:rFonts w:asciiTheme="minorHAnsi" w:hAnsiTheme="minorHAnsi" w:cs="Times New Roman"/>
          <w:lang w:eastAsia="en-US"/>
        </w:rPr>
        <w:t xml:space="preserve">Problemet med det av Islands </w:t>
      </w:r>
      <w:r w:rsidR="00D75E26">
        <w:rPr>
          <w:rFonts w:asciiTheme="minorHAnsi" w:hAnsiTheme="minorHAnsi" w:cs="Times New Roman"/>
          <w:lang w:eastAsia="en-US"/>
        </w:rPr>
        <w:t>h</w:t>
      </w:r>
      <w:r>
        <w:rPr>
          <w:rFonts w:asciiTheme="minorHAnsi" w:hAnsiTheme="minorHAnsi" w:cs="Times New Roman"/>
          <w:lang w:eastAsia="en-US"/>
        </w:rPr>
        <w:t>ögsta domstol ogiltigförklarade valet till en grundlagsförsam</w:t>
      </w:r>
      <w:r w:rsidR="005A4F60">
        <w:rPr>
          <w:rFonts w:asciiTheme="minorHAnsi" w:hAnsiTheme="minorHAnsi" w:cs="Times New Roman"/>
          <w:lang w:eastAsia="en-US"/>
        </w:rPr>
        <w:t>-</w:t>
      </w:r>
      <w:r>
        <w:rPr>
          <w:rFonts w:asciiTheme="minorHAnsi" w:hAnsiTheme="minorHAnsi" w:cs="Times New Roman"/>
          <w:lang w:eastAsia="en-US"/>
        </w:rPr>
        <w:t xml:space="preserve">ling har nu lösts. </w:t>
      </w:r>
      <w:r>
        <w:rPr>
          <w:rFonts w:asciiTheme="minorHAnsi" w:hAnsiTheme="minorHAnsi"/>
        </w:rPr>
        <w:t>Efter domstolsbeslutet tillsattes ett parlamentariskt utskott för att föreslå en lösning av dilemma</w:t>
      </w:r>
      <w:r w:rsidR="00040FAD">
        <w:rPr>
          <w:rFonts w:asciiTheme="minorHAnsi" w:hAnsiTheme="minorHAnsi"/>
        </w:rPr>
        <w:t>t</w:t>
      </w:r>
      <w:r>
        <w:rPr>
          <w:rFonts w:asciiTheme="minorHAnsi" w:hAnsiTheme="minorHAnsi"/>
        </w:rPr>
        <w:t>. Utskottets majoritet föreslog att Alltinget skulle i stället för grundlagsförsamlingen utse ett grundlagsråd och att den grupp av 25 medborgare som hade valts till grundlagsförsamlingen skulle bli förordnade som ledamöter av grundlagsrådet. Detta fö</w:t>
      </w:r>
      <w:r w:rsidR="00040FAD">
        <w:rPr>
          <w:rFonts w:asciiTheme="minorHAnsi" w:hAnsiTheme="minorHAnsi"/>
        </w:rPr>
        <w:t>r</w:t>
      </w:r>
      <w:r>
        <w:rPr>
          <w:rFonts w:asciiTheme="minorHAnsi" w:hAnsiTheme="minorHAnsi"/>
        </w:rPr>
        <w:t xml:space="preserve">slag godkändes av parlamentet, trots Självständighetspartiets högljudda protester, som ansåg att på detta sätt skulle man kringgå </w:t>
      </w:r>
      <w:r w:rsidR="00D75E26">
        <w:rPr>
          <w:rFonts w:asciiTheme="minorHAnsi" w:hAnsiTheme="minorHAnsi"/>
        </w:rPr>
        <w:t>h</w:t>
      </w:r>
      <w:r>
        <w:rPr>
          <w:rFonts w:asciiTheme="minorHAnsi" w:hAnsiTheme="minorHAnsi"/>
        </w:rPr>
        <w:t>ögsta domstolens beslut på ett otillbörligt sätt. Grundlagsrådet inledde sitt arbete i början av april och väntas komma att framlägga ett förslag till en ny grundlag för Island vid slutet av juli månad.</w:t>
      </w:r>
    </w:p>
    <w:p w14:paraId="4FD33843" w14:textId="77777777" w:rsidR="00277D18" w:rsidRPr="00D24E97" w:rsidRDefault="00277D18" w:rsidP="00277D18">
      <w:pPr>
        <w:autoSpaceDE w:val="0"/>
        <w:autoSpaceDN w:val="0"/>
        <w:adjustRightInd w:val="0"/>
        <w:jc w:val="both"/>
        <w:rPr>
          <w:rFonts w:asciiTheme="minorHAnsi" w:hAnsiTheme="minorHAnsi"/>
        </w:rPr>
      </w:pPr>
    </w:p>
    <w:p w14:paraId="75223B20" w14:textId="77777777" w:rsidR="00277D18" w:rsidRPr="00E03E40" w:rsidRDefault="00493C4B" w:rsidP="00E03E40">
      <w:pPr>
        <w:shd w:val="clear" w:color="auto" w:fill="FFFFFF" w:themeFill="background1"/>
        <w:jc w:val="both"/>
        <w:rPr>
          <w:rFonts w:asciiTheme="minorHAnsi" w:hAnsiTheme="minorHAnsi"/>
          <w:b/>
          <w:color w:val="548DD4" w:themeColor="text2" w:themeTint="99"/>
          <w:sz w:val="32"/>
          <w:szCs w:val="32"/>
        </w:rPr>
      </w:pPr>
      <w:r w:rsidRPr="00E03E40">
        <w:rPr>
          <w:rFonts w:asciiTheme="minorHAnsi" w:hAnsiTheme="minorHAnsi"/>
          <w:b/>
          <w:color w:val="548DD4" w:themeColor="text2" w:themeTint="99"/>
          <w:sz w:val="32"/>
          <w:szCs w:val="32"/>
        </w:rPr>
        <w:t>Bostadspolitiken</w:t>
      </w:r>
    </w:p>
    <w:p w14:paraId="3D434432" w14:textId="77777777" w:rsidR="008F4EA6" w:rsidRDefault="008F4EA6" w:rsidP="00E03E40">
      <w:pPr>
        <w:spacing w:after="288" w:line="204" w:lineRule="atLeast"/>
        <w:jc w:val="both"/>
        <w:rPr>
          <w:rFonts w:asciiTheme="minorHAnsi" w:eastAsia="Times New Roman" w:hAnsiTheme="minorHAnsi" w:cs="Arial"/>
        </w:rPr>
      </w:pPr>
      <w:r>
        <w:rPr>
          <w:rFonts w:asciiTheme="minorHAnsi" w:eastAsia="Times New Roman" w:hAnsiTheme="minorHAnsi" w:cs="Arial"/>
        </w:rPr>
        <w:t xml:space="preserve">Den 19 april lämnade en arbetsgrupp </w:t>
      </w:r>
      <w:r w:rsidR="00596780">
        <w:rPr>
          <w:rFonts w:asciiTheme="minorHAnsi" w:eastAsia="Times New Roman" w:hAnsiTheme="minorHAnsi" w:cs="Arial"/>
        </w:rPr>
        <w:t xml:space="preserve">för </w:t>
      </w:r>
      <w:r>
        <w:rPr>
          <w:rFonts w:asciiTheme="minorHAnsi" w:eastAsia="Times New Roman" w:hAnsiTheme="minorHAnsi" w:cs="Arial"/>
        </w:rPr>
        <w:t>en ny och förändrat bostadspolitik in sitt betänkande till välfärdsminister Guðbjartur Hannesson. Arbetsgruppen beto</w:t>
      </w:r>
      <w:r w:rsidR="00040FAD">
        <w:rPr>
          <w:rFonts w:asciiTheme="minorHAnsi" w:eastAsia="Times New Roman" w:hAnsiTheme="minorHAnsi" w:cs="Arial"/>
        </w:rPr>
        <w:t>n</w:t>
      </w:r>
      <w:r>
        <w:rPr>
          <w:rFonts w:asciiTheme="minorHAnsi" w:eastAsia="Times New Roman" w:hAnsiTheme="minorHAnsi" w:cs="Arial"/>
        </w:rPr>
        <w:t>ade att bostadspolitikens huvudsyfte bör vara att åstadskomma en fullgod boendesäkerhet för samtliga hushåll samt att befrämja social sammanhållning och ekonomisk stabilitet. Vidare betonar arbetsgruppen vikten av en förbättrad analys av förhållandena på bostadsmark</w:t>
      </w:r>
      <w:r w:rsidR="005A4F60">
        <w:rPr>
          <w:rFonts w:asciiTheme="minorHAnsi" w:eastAsia="Times New Roman" w:hAnsiTheme="minorHAnsi" w:cs="Arial"/>
        </w:rPr>
        <w:t>-</w:t>
      </w:r>
      <w:r>
        <w:rPr>
          <w:rFonts w:asciiTheme="minorHAnsi" w:eastAsia="Times New Roman" w:hAnsiTheme="minorHAnsi" w:cs="Arial"/>
        </w:rPr>
        <w:t>naden som en förutsättning för en lyckad fram</w:t>
      </w:r>
      <w:r w:rsidR="005F13A7">
        <w:rPr>
          <w:rFonts w:asciiTheme="minorHAnsi" w:eastAsia="Times New Roman" w:hAnsiTheme="minorHAnsi" w:cs="Arial"/>
        </w:rPr>
        <w:t>t</w:t>
      </w:r>
      <w:r>
        <w:rPr>
          <w:rFonts w:asciiTheme="minorHAnsi" w:eastAsia="Times New Roman" w:hAnsiTheme="minorHAnsi" w:cs="Arial"/>
        </w:rPr>
        <w:t>ida bostadspolitik och att detta analysarbete bör vara avslutat före årsslutet 2011.</w:t>
      </w:r>
    </w:p>
    <w:p w14:paraId="589BF885" w14:textId="77777777" w:rsidR="008F4EA6" w:rsidRDefault="008F4EA6" w:rsidP="008F4EA6">
      <w:pPr>
        <w:spacing w:after="288" w:line="204" w:lineRule="atLeast"/>
        <w:rPr>
          <w:rFonts w:asciiTheme="minorHAnsi" w:eastAsia="Times New Roman" w:hAnsiTheme="minorHAnsi" w:cs="Arial"/>
        </w:rPr>
      </w:pPr>
      <w:r>
        <w:rPr>
          <w:rFonts w:asciiTheme="minorHAnsi" w:eastAsia="Times New Roman" w:hAnsiTheme="minorHAnsi" w:cs="Arial"/>
        </w:rPr>
        <w:t>Bland arbetsgruppens konkreta förslag finns de följande:</w:t>
      </w:r>
    </w:p>
    <w:p w14:paraId="7299F5A8" w14:textId="77777777" w:rsidR="0065613A" w:rsidRPr="0065613A" w:rsidRDefault="0065613A" w:rsidP="008F4EA6">
      <w:pPr>
        <w:pStyle w:val="Liststycke"/>
        <w:numPr>
          <w:ilvl w:val="0"/>
          <w:numId w:val="1"/>
        </w:numPr>
        <w:spacing w:after="288" w:line="204" w:lineRule="atLeast"/>
        <w:jc w:val="both"/>
        <w:rPr>
          <w:rFonts w:ascii="Calibri" w:hAnsi="Calibri"/>
          <w:sz w:val="18"/>
          <w:szCs w:val="18"/>
        </w:rPr>
      </w:pPr>
      <w:r>
        <w:rPr>
          <w:rFonts w:asciiTheme="minorHAnsi" w:eastAsia="Times New Roman" w:hAnsiTheme="minorHAnsi" w:cs="Arial"/>
        </w:rPr>
        <w:t>I stället för nuvarande hyresbidrag til hyresgäster och räntebidrag till ägare föreslås ett enhetligt bostadsbidrag till samtliga hushållstyper och upplåtelseformer.</w:t>
      </w:r>
    </w:p>
    <w:p w14:paraId="17722B17" w14:textId="77777777" w:rsidR="0065613A" w:rsidRPr="0065613A" w:rsidRDefault="0065613A" w:rsidP="0065613A">
      <w:pPr>
        <w:pStyle w:val="Liststycke"/>
        <w:rPr>
          <w:rFonts w:asciiTheme="minorHAnsi" w:eastAsia="Times New Roman" w:hAnsiTheme="minorHAnsi" w:cs="Arial"/>
        </w:rPr>
      </w:pPr>
    </w:p>
    <w:p w14:paraId="11EBCAFA" w14:textId="77777777" w:rsidR="0065613A" w:rsidRPr="0065613A" w:rsidRDefault="0065613A" w:rsidP="008F4EA6">
      <w:pPr>
        <w:pStyle w:val="Liststycke"/>
        <w:numPr>
          <w:ilvl w:val="0"/>
          <w:numId w:val="1"/>
        </w:numPr>
        <w:spacing w:after="288" w:line="204" w:lineRule="atLeast"/>
        <w:jc w:val="both"/>
        <w:rPr>
          <w:rFonts w:ascii="Calibri" w:hAnsi="Calibri"/>
          <w:sz w:val="18"/>
          <w:szCs w:val="18"/>
        </w:rPr>
      </w:pPr>
      <w:r w:rsidRPr="0065613A">
        <w:rPr>
          <w:rFonts w:asciiTheme="minorHAnsi" w:eastAsia="Times New Roman" w:hAnsiTheme="minorHAnsi" w:cs="Arial"/>
        </w:rPr>
        <w:t>Huvudregeln i samband med det nya bostadsbid</w:t>
      </w:r>
      <w:r w:rsidR="005F13A7">
        <w:rPr>
          <w:rFonts w:asciiTheme="minorHAnsi" w:eastAsia="Times New Roman" w:hAnsiTheme="minorHAnsi" w:cs="Arial"/>
        </w:rPr>
        <w:t>r</w:t>
      </w:r>
      <w:r w:rsidRPr="0065613A">
        <w:rPr>
          <w:rFonts w:asciiTheme="minorHAnsi" w:eastAsia="Times New Roman" w:hAnsiTheme="minorHAnsi" w:cs="Arial"/>
        </w:rPr>
        <w:t>aget bör vara att staten står för ett visst allmänt stöd till boendet och kommunerna för det mer socialt riktade stödet.</w:t>
      </w:r>
    </w:p>
    <w:p w14:paraId="1DD6A673" w14:textId="77777777" w:rsidR="0065613A" w:rsidRPr="0065613A" w:rsidRDefault="0065613A" w:rsidP="0065613A">
      <w:pPr>
        <w:pStyle w:val="Liststycke"/>
        <w:rPr>
          <w:rFonts w:asciiTheme="minorHAnsi" w:eastAsia="Times New Roman" w:hAnsiTheme="minorHAnsi" w:cs="Arial"/>
        </w:rPr>
      </w:pPr>
    </w:p>
    <w:p w14:paraId="4EBC4425" w14:textId="77777777" w:rsidR="0065613A" w:rsidRPr="0065613A" w:rsidRDefault="0065613A" w:rsidP="008F4EA6">
      <w:pPr>
        <w:pStyle w:val="Liststycke"/>
        <w:numPr>
          <w:ilvl w:val="0"/>
          <w:numId w:val="1"/>
        </w:numPr>
        <w:spacing w:after="288" w:line="204" w:lineRule="atLeast"/>
        <w:jc w:val="both"/>
        <w:rPr>
          <w:rFonts w:ascii="Calibri" w:hAnsi="Calibri"/>
          <w:sz w:val="18"/>
          <w:szCs w:val="18"/>
        </w:rPr>
      </w:pPr>
      <w:r w:rsidRPr="0065613A">
        <w:rPr>
          <w:rFonts w:asciiTheme="minorHAnsi" w:eastAsia="Times New Roman" w:hAnsiTheme="minorHAnsi" w:cs="Arial"/>
        </w:rPr>
        <w:t>Att bostadspolitiken i framtiden blir en del av en enhetlig landsplanering för hela Island som kan bli vägledande för planeringen på den kommunala nivån.</w:t>
      </w:r>
    </w:p>
    <w:p w14:paraId="278F2C64" w14:textId="77777777" w:rsidR="0065613A" w:rsidRPr="0065613A" w:rsidRDefault="0065613A" w:rsidP="0065613A">
      <w:pPr>
        <w:pStyle w:val="Liststycke"/>
        <w:rPr>
          <w:rFonts w:asciiTheme="minorHAnsi" w:eastAsia="Times New Roman" w:hAnsiTheme="minorHAnsi" w:cs="Arial"/>
        </w:rPr>
      </w:pPr>
    </w:p>
    <w:p w14:paraId="3AA6AFDA" w14:textId="77777777" w:rsidR="00E03E40" w:rsidRPr="00E03E40" w:rsidRDefault="008F4EA6" w:rsidP="003E2EB4">
      <w:pPr>
        <w:pStyle w:val="Liststycke"/>
        <w:numPr>
          <w:ilvl w:val="0"/>
          <w:numId w:val="1"/>
        </w:numPr>
        <w:spacing w:after="288" w:line="204" w:lineRule="atLeast"/>
        <w:jc w:val="both"/>
      </w:pPr>
      <w:r w:rsidRPr="003E2EB4">
        <w:rPr>
          <w:rFonts w:asciiTheme="minorHAnsi" w:eastAsia="Times New Roman" w:hAnsiTheme="minorHAnsi" w:cs="Arial"/>
        </w:rPr>
        <w:t>Statens syfte med sin medverkan i bostadsfinansieringen bör vara att försäkra ett stadigt penningflöde till bostadsfinansieringen, åstadkomma jämbördiga förutsätt</w:t>
      </w:r>
      <w:r w:rsidR="00596780">
        <w:rPr>
          <w:rFonts w:asciiTheme="minorHAnsi" w:eastAsia="Times New Roman" w:hAnsiTheme="minorHAnsi" w:cs="Arial"/>
        </w:rPr>
        <w:t>-</w:t>
      </w:r>
      <w:r w:rsidRPr="003E2EB4">
        <w:rPr>
          <w:rFonts w:asciiTheme="minorHAnsi" w:eastAsia="Times New Roman" w:hAnsiTheme="minorHAnsi" w:cs="Arial"/>
        </w:rPr>
        <w:lastRenderedPageBreak/>
        <w:t>ningar för medborgarna oavsett boendeort och underlätta uppfyllelsen av statens överordnade sociala målsättningar.</w:t>
      </w:r>
    </w:p>
    <w:p w14:paraId="27B50887" w14:textId="77777777" w:rsidR="00E03E40" w:rsidRDefault="00E03E40" w:rsidP="00E03E40">
      <w:pPr>
        <w:pStyle w:val="Liststycke"/>
      </w:pPr>
    </w:p>
    <w:p w14:paraId="6714DDB6" w14:textId="77777777" w:rsidR="00E03E40" w:rsidRPr="00E03E40" w:rsidRDefault="00E03E40" w:rsidP="00E03E40">
      <w:pPr>
        <w:shd w:val="clear" w:color="auto" w:fill="FFFFFF" w:themeFill="background1"/>
        <w:rPr>
          <w:rFonts w:asciiTheme="minorHAnsi" w:hAnsiTheme="minorHAnsi"/>
          <w:b/>
          <w:color w:val="548DD4" w:themeColor="text2" w:themeTint="99"/>
          <w:sz w:val="32"/>
          <w:szCs w:val="32"/>
        </w:rPr>
      </w:pPr>
      <w:r w:rsidRPr="00E03E40">
        <w:rPr>
          <w:rFonts w:asciiTheme="minorHAnsi" w:hAnsiTheme="minorHAnsi"/>
          <w:b/>
          <w:color w:val="548DD4" w:themeColor="text2" w:themeTint="99"/>
          <w:sz w:val="32"/>
          <w:szCs w:val="32"/>
        </w:rPr>
        <w:t>Bostadsbyggandet och bostadsmarknaden</w:t>
      </w:r>
    </w:p>
    <w:p w14:paraId="268A7193" w14:textId="77777777" w:rsidR="00E03E40" w:rsidRDefault="00E03E40" w:rsidP="005E063E">
      <w:pPr>
        <w:jc w:val="both"/>
        <w:rPr>
          <w:rFonts w:asciiTheme="minorHAnsi" w:hAnsiTheme="minorHAnsi"/>
        </w:rPr>
      </w:pPr>
      <w:r>
        <w:rPr>
          <w:rFonts w:asciiTheme="minorHAnsi" w:hAnsiTheme="minorHAnsi"/>
        </w:rPr>
        <w:t>Bostadsbyggandet på Island låg på en relativt låg nivå under hela 1990-talet. Strax efter millen</w:t>
      </w:r>
      <w:r w:rsidR="005F13A7">
        <w:rPr>
          <w:rFonts w:asciiTheme="minorHAnsi" w:hAnsiTheme="minorHAnsi"/>
        </w:rPr>
        <w:t>n</w:t>
      </w:r>
      <w:r>
        <w:rPr>
          <w:rFonts w:asciiTheme="minorHAnsi" w:hAnsiTheme="minorHAnsi"/>
        </w:rPr>
        <w:t>ieskiftet började dock byggaktiviteten sakta öka. Under fem år</w:t>
      </w:r>
      <w:r w:rsidR="00596780">
        <w:rPr>
          <w:rFonts w:asciiTheme="minorHAnsi" w:hAnsiTheme="minorHAnsi"/>
        </w:rPr>
        <w:t>,</w:t>
      </w:r>
      <w:r>
        <w:rPr>
          <w:rFonts w:asciiTheme="minorHAnsi" w:hAnsiTheme="minorHAnsi"/>
        </w:rPr>
        <w:t xml:space="preserve"> 2004 till och med 2008 påbörjades </w:t>
      </w:r>
      <w:r w:rsidR="00596780">
        <w:rPr>
          <w:rFonts w:asciiTheme="minorHAnsi" w:hAnsiTheme="minorHAnsi"/>
        </w:rPr>
        <w:t xml:space="preserve">sedan </w:t>
      </w:r>
      <w:r>
        <w:rPr>
          <w:rFonts w:asciiTheme="minorHAnsi" w:hAnsiTheme="minorHAnsi"/>
        </w:rPr>
        <w:t>årligen 3000</w:t>
      </w:r>
      <w:r w:rsidR="007B34A5">
        <w:rPr>
          <w:rFonts w:asciiTheme="minorHAnsi" w:hAnsiTheme="minorHAnsi"/>
        </w:rPr>
        <w:t>-4000</w:t>
      </w:r>
      <w:r>
        <w:rPr>
          <w:rFonts w:asciiTheme="minorHAnsi" w:hAnsiTheme="minorHAnsi"/>
        </w:rPr>
        <w:t xml:space="preserve"> lägenheter.</w:t>
      </w:r>
    </w:p>
    <w:p w14:paraId="2833E1CE" w14:textId="77777777" w:rsidR="00E03E40" w:rsidRDefault="00E03E40" w:rsidP="00E03E40">
      <w:pPr>
        <w:rPr>
          <w:rFonts w:asciiTheme="minorHAnsi" w:hAnsiTheme="minorHAnsi"/>
        </w:rPr>
      </w:pPr>
    </w:p>
    <w:p w14:paraId="696A67A9" w14:textId="77777777" w:rsidR="00E03E40" w:rsidRDefault="00FC5F3B" w:rsidP="00E03E40">
      <w:pPr>
        <w:rPr>
          <w:rFonts w:asciiTheme="minorHAnsi" w:hAnsiTheme="minorHAnsi"/>
        </w:rPr>
      </w:pPr>
      <w:r w:rsidRPr="00FC5F3B">
        <w:rPr>
          <w:rFonts w:asciiTheme="minorHAnsi" w:hAnsiTheme="minorHAnsi"/>
          <w:noProof/>
          <w:lang w:val="sv-SE" w:eastAsia="sv-SE"/>
        </w:rPr>
        <w:drawing>
          <wp:inline distT="0" distB="0" distL="0" distR="0" wp14:anchorId="52F59C6A" wp14:editId="337E6906">
            <wp:extent cx="5760720" cy="3400331"/>
            <wp:effectExtent l="19050" t="0" r="11430" b="0"/>
            <wp:docPr id="2" name="Línuri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17B7B4" w14:textId="77777777" w:rsidR="00E03E40" w:rsidRDefault="00E03E40" w:rsidP="00E03E40">
      <w:pPr>
        <w:rPr>
          <w:rFonts w:asciiTheme="minorHAnsi" w:hAnsiTheme="minorHAnsi"/>
        </w:rPr>
      </w:pPr>
    </w:p>
    <w:p w14:paraId="52EF5127" w14:textId="77777777" w:rsidR="00E03E40" w:rsidRDefault="00E03E40" w:rsidP="00E03E40">
      <w:pPr>
        <w:jc w:val="both"/>
        <w:rPr>
          <w:rFonts w:asciiTheme="minorHAnsi" w:hAnsiTheme="minorHAnsi"/>
        </w:rPr>
      </w:pPr>
      <w:r>
        <w:rPr>
          <w:rFonts w:asciiTheme="minorHAnsi" w:hAnsiTheme="minorHAnsi"/>
        </w:rPr>
        <w:t>Efter bankkra</w:t>
      </w:r>
      <w:r w:rsidR="00B7644D">
        <w:rPr>
          <w:rFonts w:asciiTheme="minorHAnsi" w:hAnsiTheme="minorHAnsi"/>
        </w:rPr>
        <w:t>s</w:t>
      </w:r>
      <w:r>
        <w:rPr>
          <w:rFonts w:asciiTheme="minorHAnsi" w:hAnsiTheme="minorHAnsi"/>
        </w:rPr>
        <w:t xml:space="preserve">chen 2008 har bostadsbyggandet minskad till endast en bråkdel av detta, antalet påbörjade </w:t>
      </w:r>
      <w:r w:rsidR="00B7644D">
        <w:rPr>
          <w:rFonts w:asciiTheme="minorHAnsi" w:hAnsiTheme="minorHAnsi"/>
        </w:rPr>
        <w:t xml:space="preserve">lägenheter </w:t>
      </w:r>
      <w:r w:rsidR="00596780">
        <w:rPr>
          <w:rFonts w:asciiTheme="minorHAnsi" w:hAnsiTheme="minorHAnsi"/>
        </w:rPr>
        <w:t>var</w:t>
      </w:r>
      <w:r>
        <w:rPr>
          <w:rFonts w:asciiTheme="minorHAnsi" w:hAnsiTheme="minorHAnsi"/>
        </w:rPr>
        <w:t xml:space="preserve"> 2009 och 2010 </w:t>
      </w:r>
      <w:r w:rsidR="00596780">
        <w:rPr>
          <w:rFonts w:asciiTheme="minorHAnsi" w:hAnsiTheme="minorHAnsi"/>
        </w:rPr>
        <w:t xml:space="preserve">endast </w:t>
      </w:r>
      <w:r>
        <w:rPr>
          <w:rFonts w:asciiTheme="minorHAnsi" w:hAnsiTheme="minorHAnsi"/>
        </w:rPr>
        <w:t>200-300, medan antalet färdigställda lägenheter har varit omkring 1000 lägenheter, f</w:t>
      </w:r>
      <w:r w:rsidR="00B7644D">
        <w:rPr>
          <w:rFonts w:asciiTheme="minorHAnsi" w:hAnsiTheme="minorHAnsi"/>
        </w:rPr>
        <w:t>ö</w:t>
      </w:r>
      <w:r>
        <w:rPr>
          <w:rFonts w:asciiTheme="minorHAnsi" w:hAnsiTheme="minorHAnsi"/>
        </w:rPr>
        <w:t>rmodligen till största del</w:t>
      </w:r>
      <w:r w:rsidR="00B7644D">
        <w:rPr>
          <w:rFonts w:asciiTheme="minorHAnsi" w:hAnsiTheme="minorHAnsi"/>
        </w:rPr>
        <w:t>en</w:t>
      </w:r>
      <w:r>
        <w:rPr>
          <w:rFonts w:asciiTheme="minorHAnsi" w:hAnsiTheme="minorHAnsi"/>
        </w:rPr>
        <w:t xml:space="preserve"> lägenhetsbyggen som påbörjades före bankkra</w:t>
      </w:r>
      <w:r w:rsidR="00B7644D">
        <w:rPr>
          <w:rFonts w:asciiTheme="minorHAnsi" w:hAnsiTheme="minorHAnsi"/>
        </w:rPr>
        <w:t>s</w:t>
      </w:r>
      <w:r>
        <w:rPr>
          <w:rFonts w:asciiTheme="minorHAnsi" w:hAnsiTheme="minorHAnsi"/>
        </w:rPr>
        <w:t>chen.</w:t>
      </w:r>
    </w:p>
    <w:p w14:paraId="42091A10" w14:textId="77777777" w:rsidR="00E03E40" w:rsidRDefault="00E03E40" w:rsidP="00E03E40">
      <w:pPr>
        <w:jc w:val="both"/>
        <w:rPr>
          <w:rFonts w:asciiTheme="minorHAnsi" w:hAnsiTheme="minorHAnsi"/>
        </w:rPr>
      </w:pPr>
    </w:p>
    <w:p w14:paraId="7239A9EE" w14:textId="77777777" w:rsidR="00E03E40" w:rsidRDefault="00E03E40" w:rsidP="00E03E40">
      <w:pPr>
        <w:jc w:val="both"/>
        <w:rPr>
          <w:rFonts w:asciiTheme="minorHAnsi" w:hAnsiTheme="minorHAnsi"/>
        </w:rPr>
      </w:pPr>
      <w:r>
        <w:rPr>
          <w:rFonts w:asciiTheme="minorHAnsi" w:hAnsiTheme="minorHAnsi"/>
        </w:rPr>
        <w:t>En studie som nyligen har genomförts av Islands konsumentförbund (Neytendasamtökin) visar ett växande behov av hyreslägenheter. Hyrorna sjönk den första tiden efter bankkraschen, men har nu börjat stiga igen. Det har kritiserats att de bostäder som av olika anledningar står tomma inte i tillräcklig utsträckning används för uthyrning, som skulle minska trycket på hyresmarknaden.</w:t>
      </w:r>
    </w:p>
    <w:p w14:paraId="293912A9" w14:textId="77777777" w:rsidR="00E03E40" w:rsidRDefault="00E03E40" w:rsidP="00E03E40">
      <w:pPr>
        <w:jc w:val="both"/>
        <w:rPr>
          <w:rFonts w:asciiTheme="minorHAnsi" w:hAnsiTheme="minorHAnsi"/>
        </w:rPr>
      </w:pPr>
    </w:p>
    <w:p w14:paraId="0D8DB956" w14:textId="77777777" w:rsidR="00E03E40" w:rsidRDefault="00E03E40" w:rsidP="00E03E40">
      <w:pPr>
        <w:jc w:val="both"/>
        <w:rPr>
          <w:rFonts w:asciiTheme="minorHAnsi" w:hAnsiTheme="minorHAnsi"/>
        </w:rPr>
      </w:pPr>
      <w:r>
        <w:rPr>
          <w:rFonts w:asciiTheme="minorHAnsi" w:hAnsiTheme="minorHAnsi"/>
        </w:rPr>
        <w:t>På fastighetsmark</w:t>
      </w:r>
      <w:r w:rsidR="005E063E">
        <w:rPr>
          <w:rFonts w:asciiTheme="minorHAnsi" w:hAnsiTheme="minorHAnsi"/>
        </w:rPr>
        <w:t>n</w:t>
      </w:r>
      <w:r>
        <w:rPr>
          <w:rFonts w:asciiTheme="minorHAnsi" w:hAnsiTheme="minorHAnsi"/>
        </w:rPr>
        <w:t xml:space="preserve">aden i Reykjavik har omsättningen ökat något jämfört med de två senaste åren. En del av förklaringen till detta kan ligga i </w:t>
      </w:r>
      <w:r w:rsidR="005E063E">
        <w:rPr>
          <w:rFonts w:asciiTheme="minorHAnsi" w:hAnsiTheme="minorHAnsi"/>
        </w:rPr>
        <w:t xml:space="preserve">att </w:t>
      </w:r>
      <w:r>
        <w:rPr>
          <w:rFonts w:asciiTheme="minorHAnsi" w:hAnsiTheme="minorHAnsi"/>
        </w:rPr>
        <w:t xml:space="preserve">de som äger pengar inte kan ellers törs investera </w:t>
      </w:r>
      <w:r w:rsidR="00596780">
        <w:rPr>
          <w:rFonts w:asciiTheme="minorHAnsi" w:hAnsiTheme="minorHAnsi"/>
        </w:rPr>
        <w:t>dem</w:t>
      </w:r>
      <w:r>
        <w:rPr>
          <w:rFonts w:asciiTheme="minorHAnsi" w:hAnsiTheme="minorHAnsi"/>
        </w:rPr>
        <w:t xml:space="preserve"> i aktier och andra värdepapper och väljer i stället </w:t>
      </w:r>
      <w:r w:rsidR="00596780">
        <w:rPr>
          <w:rFonts w:asciiTheme="minorHAnsi" w:hAnsiTheme="minorHAnsi"/>
        </w:rPr>
        <w:t>bostads</w:t>
      </w:r>
      <w:r>
        <w:rPr>
          <w:rFonts w:asciiTheme="minorHAnsi" w:hAnsiTheme="minorHAnsi"/>
        </w:rPr>
        <w:t>fastigheter som mera säkra investeringsobjekt.</w:t>
      </w:r>
    </w:p>
    <w:p w14:paraId="110BC6DA" w14:textId="77777777" w:rsidR="00E03E40" w:rsidRDefault="00E03E40" w:rsidP="00E03E40">
      <w:pPr>
        <w:jc w:val="both"/>
        <w:rPr>
          <w:rFonts w:asciiTheme="minorHAnsi" w:hAnsiTheme="minorHAnsi"/>
        </w:rPr>
      </w:pPr>
    </w:p>
    <w:p w14:paraId="0BD84BED" w14:textId="77777777" w:rsidR="00E03E40" w:rsidRDefault="00E03E40" w:rsidP="00E03E40">
      <w:pPr>
        <w:jc w:val="both"/>
        <w:rPr>
          <w:rFonts w:asciiTheme="minorHAnsi" w:hAnsiTheme="minorHAnsi"/>
        </w:rPr>
      </w:pPr>
      <w:r>
        <w:rPr>
          <w:rFonts w:asciiTheme="minorHAnsi" w:hAnsiTheme="minorHAnsi"/>
        </w:rPr>
        <w:t xml:space="preserve">Det följande diagrammet visar utvecklingen av de reala fastighetspriserna i Reykjavik-området januari 2002- mars 2011, dvs kvartalsvisa genomsnitt (100=1 kvartal 2002). </w:t>
      </w:r>
    </w:p>
    <w:p w14:paraId="03E57574" w14:textId="77777777" w:rsidR="00E03E40" w:rsidRDefault="00E03E40" w:rsidP="00E03E40">
      <w:pPr>
        <w:jc w:val="both"/>
        <w:rPr>
          <w:rFonts w:asciiTheme="minorHAnsi" w:hAnsiTheme="minorHAnsi"/>
        </w:rPr>
      </w:pPr>
    </w:p>
    <w:p w14:paraId="14D79904" w14:textId="77777777" w:rsidR="00E03E40" w:rsidRDefault="00E03E40" w:rsidP="00E03E40">
      <w:pPr>
        <w:rPr>
          <w:rFonts w:asciiTheme="minorHAnsi" w:hAnsiTheme="minorHAnsi"/>
        </w:rPr>
      </w:pPr>
      <w:r w:rsidRPr="00BB259B">
        <w:rPr>
          <w:rFonts w:asciiTheme="minorHAnsi" w:hAnsiTheme="minorHAnsi"/>
          <w:noProof/>
          <w:lang w:val="sv-SE" w:eastAsia="sv-SE"/>
        </w:rPr>
        <w:lastRenderedPageBreak/>
        <w:drawing>
          <wp:inline distT="0" distB="0" distL="0" distR="0" wp14:anchorId="138FCED8" wp14:editId="0EFEE8C6">
            <wp:extent cx="5760720" cy="3664911"/>
            <wp:effectExtent l="19050" t="0" r="11430" b="0"/>
            <wp:docPr id="3" name="Línuri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15F8EF" w14:textId="77777777" w:rsidR="00E03E40" w:rsidRDefault="00E03E40" w:rsidP="00E03E40">
      <w:pPr>
        <w:rPr>
          <w:rFonts w:asciiTheme="minorHAnsi" w:hAnsiTheme="minorHAnsi"/>
        </w:rPr>
      </w:pPr>
    </w:p>
    <w:p w14:paraId="1BFBB16F" w14:textId="77777777" w:rsidR="00E03E40" w:rsidRPr="004F4689" w:rsidRDefault="00E407C9" w:rsidP="00033677">
      <w:pPr>
        <w:jc w:val="both"/>
        <w:rPr>
          <w:rFonts w:asciiTheme="minorHAnsi" w:hAnsiTheme="minorHAnsi"/>
        </w:rPr>
      </w:pPr>
      <w:r>
        <w:rPr>
          <w:rFonts w:asciiTheme="minorHAnsi" w:hAnsiTheme="minorHAnsi"/>
        </w:rPr>
        <w:t xml:space="preserve">Fastighetspriserna har som diagrammet visar legat nästan helt stilla i reala termer sedan </w:t>
      </w:r>
      <w:r w:rsidR="00033677">
        <w:rPr>
          <w:rFonts w:asciiTheme="minorHAnsi" w:hAnsiTheme="minorHAnsi"/>
        </w:rPr>
        <w:t xml:space="preserve">det </w:t>
      </w:r>
      <w:r>
        <w:rPr>
          <w:rFonts w:asciiTheme="minorHAnsi" w:hAnsiTheme="minorHAnsi"/>
        </w:rPr>
        <w:t>1 kvartalet av 2010. Fallet av markn</w:t>
      </w:r>
      <w:r w:rsidR="00033677">
        <w:rPr>
          <w:rFonts w:asciiTheme="minorHAnsi" w:hAnsiTheme="minorHAnsi"/>
        </w:rPr>
        <w:t>a</w:t>
      </w:r>
      <w:r>
        <w:rPr>
          <w:rFonts w:asciiTheme="minorHAnsi" w:hAnsiTheme="minorHAnsi"/>
        </w:rPr>
        <w:t xml:space="preserve">dspriserna ser således ut att ha gått över under loppet av det första året efter bankkraschen, år 2009. Under mer än ett år har priserna på fastigheter i Reykjaviks-området </w:t>
      </w:r>
      <w:r w:rsidR="000452F5">
        <w:rPr>
          <w:rFonts w:asciiTheme="minorHAnsi" w:hAnsiTheme="minorHAnsi"/>
        </w:rPr>
        <w:t xml:space="preserve">nu </w:t>
      </w:r>
      <w:r>
        <w:rPr>
          <w:rFonts w:asciiTheme="minorHAnsi" w:hAnsiTheme="minorHAnsi"/>
        </w:rPr>
        <w:t xml:space="preserve">legat på samma nivå som vid mitten av 2004, dvs strax före bankernas inträde på bolånemarknaden i augusti 2004. </w:t>
      </w:r>
    </w:p>
    <w:p w14:paraId="21D2A32D" w14:textId="77777777" w:rsidR="00A34369" w:rsidRDefault="003E2EB4" w:rsidP="00E03E40">
      <w:pPr>
        <w:spacing w:after="288" w:line="204" w:lineRule="atLeast"/>
        <w:jc w:val="both"/>
      </w:pPr>
      <w:r>
        <w:t xml:space="preserve"> </w:t>
      </w:r>
    </w:p>
    <w:p w14:paraId="28CAC380" w14:textId="77777777" w:rsidR="00E4263E" w:rsidRDefault="00E4263E" w:rsidP="00E03E40">
      <w:pPr>
        <w:spacing w:after="288" w:line="204" w:lineRule="atLeast"/>
        <w:jc w:val="both"/>
      </w:pPr>
    </w:p>
    <w:p w14:paraId="05BACA4A" w14:textId="77777777" w:rsidR="00E4263E" w:rsidRDefault="00E4263E" w:rsidP="00E03E40">
      <w:pPr>
        <w:spacing w:after="288" w:line="204" w:lineRule="atLeast"/>
        <w:jc w:val="both"/>
      </w:pPr>
    </w:p>
    <w:p w14:paraId="69EF229E" w14:textId="77777777" w:rsidR="00E4263E" w:rsidRDefault="00E4263E" w:rsidP="00E03E40">
      <w:pPr>
        <w:spacing w:after="288" w:line="204" w:lineRule="atLeast"/>
        <w:jc w:val="both"/>
      </w:pPr>
    </w:p>
    <w:sectPr w:rsidR="00E4263E" w:rsidSect="002F7E04">
      <w:headerReference w:type="default" r:id="rId14"/>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82133" w14:textId="77777777" w:rsidR="00A60FF1" w:rsidRDefault="00A60FF1" w:rsidP="00277D18">
      <w:r>
        <w:separator/>
      </w:r>
    </w:p>
  </w:endnote>
  <w:endnote w:type="continuationSeparator" w:id="0">
    <w:p w14:paraId="1B2AE065" w14:textId="77777777" w:rsidR="00A60FF1" w:rsidRDefault="00A60FF1" w:rsidP="0027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278"/>
      <w:docPartObj>
        <w:docPartGallery w:val="Page Numbers (Bottom of Page)"/>
        <w:docPartUnique/>
      </w:docPartObj>
    </w:sdtPr>
    <w:sdtEndPr>
      <w:rPr>
        <w:rFonts w:asciiTheme="minorHAnsi" w:hAnsiTheme="minorHAnsi" w:cstheme="minorHAnsi"/>
      </w:rPr>
    </w:sdtEndPr>
    <w:sdtContent>
      <w:p w14:paraId="56D64DB0" w14:textId="77777777" w:rsidR="00AA5C6E" w:rsidRPr="002F7E04" w:rsidRDefault="00D0210F">
        <w:pPr>
          <w:pStyle w:val="Sidfot"/>
          <w:jc w:val="right"/>
          <w:rPr>
            <w:rFonts w:asciiTheme="minorHAnsi" w:hAnsiTheme="minorHAnsi" w:cstheme="minorHAnsi"/>
          </w:rPr>
        </w:pPr>
        <w:r w:rsidRPr="002F7E04">
          <w:rPr>
            <w:rFonts w:asciiTheme="minorHAnsi" w:hAnsiTheme="minorHAnsi" w:cstheme="minorHAnsi"/>
          </w:rPr>
          <w:fldChar w:fldCharType="begin"/>
        </w:r>
        <w:r w:rsidR="006B56BC" w:rsidRPr="002F7E04">
          <w:rPr>
            <w:rFonts w:asciiTheme="minorHAnsi" w:hAnsiTheme="minorHAnsi" w:cstheme="minorHAnsi"/>
          </w:rPr>
          <w:instrText xml:space="preserve"> PAGE   \* MERGEFORMAT </w:instrText>
        </w:r>
        <w:r w:rsidRPr="002F7E04">
          <w:rPr>
            <w:rFonts w:asciiTheme="minorHAnsi" w:hAnsiTheme="minorHAnsi" w:cstheme="minorHAnsi"/>
          </w:rPr>
          <w:fldChar w:fldCharType="separate"/>
        </w:r>
        <w:r w:rsidR="001E16C5">
          <w:rPr>
            <w:rFonts w:asciiTheme="minorHAnsi" w:hAnsiTheme="minorHAnsi" w:cstheme="minorHAnsi"/>
            <w:noProof/>
          </w:rPr>
          <w:t>5</w:t>
        </w:r>
        <w:r w:rsidRPr="002F7E04">
          <w:rPr>
            <w:rFonts w:asciiTheme="minorHAnsi" w:hAnsiTheme="minorHAnsi" w:cstheme="minorHAnsi"/>
          </w:rPr>
          <w:fldChar w:fldCharType="end"/>
        </w:r>
      </w:p>
    </w:sdtContent>
  </w:sdt>
  <w:p w14:paraId="766F365F" w14:textId="77777777" w:rsidR="00AA5C6E" w:rsidRDefault="00A60FF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30DF" w14:textId="77777777" w:rsidR="002F7E04" w:rsidRPr="002F7E04" w:rsidRDefault="002F7E04" w:rsidP="002F7E04">
    <w:pPr>
      <w:pStyle w:val="Sidfot"/>
      <w:tabs>
        <w:tab w:val="left" w:pos="3060"/>
      </w:tabs>
      <w:ind w:firstLine="482"/>
      <w:rPr>
        <w:rFonts w:asciiTheme="minorHAnsi" w:hAnsiTheme="minorHAnsi" w:cstheme="minorHAnsi"/>
        <w:sz w:val="18"/>
        <w:szCs w:val="18"/>
      </w:rPr>
    </w:pPr>
    <w:r w:rsidRPr="002F7E04">
      <w:rPr>
        <w:rFonts w:asciiTheme="minorHAnsi" w:hAnsiTheme="minorHAnsi" w:cstheme="minorHAnsi"/>
        <w:sz w:val="18"/>
        <w:szCs w:val="18"/>
      </w:rPr>
      <w:t>NBO, Nordiska kooperativa och</w:t>
    </w:r>
  </w:p>
  <w:p w14:paraId="5258BB38" w14:textId="77777777" w:rsidR="002F7E04" w:rsidRPr="002F7E04" w:rsidRDefault="002F7E04" w:rsidP="002F7E04">
    <w:pPr>
      <w:pStyle w:val="Sidfot"/>
      <w:tabs>
        <w:tab w:val="clear" w:pos="4536"/>
        <w:tab w:val="clear" w:pos="9072"/>
        <w:tab w:val="left" w:pos="3060"/>
        <w:tab w:val="left" w:pos="5103"/>
        <w:tab w:val="left" w:pos="5629"/>
      </w:tabs>
      <w:ind w:firstLine="482"/>
      <w:rPr>
        <w:rFonts w:asciiTheme="minorHAnsi" w:hAnsiTheme="minorHAnsi" w:cstheme="minorHAnsi"/>
        <w:sz w:val="18"/>
        <w:szCs w:val="18"/>
      </w:rPr>
    </w:pPr>
    <w:r w:rsidRPr="002F7E04">
      <w:rPr>
        <w:rFonts w:asciiTheme="minorHAnsi" w:hAnsiTheme="minorHAnsi" w:cstheme="minorHAnsi"/>
        <w:sz w:val="18"/>
        <w:szCs w:val="18"/>
      </w:rPr>
      <w:t xml:space="preserve">allmännyttiga bostadsorganisationer </w:t>
    </w:r>
    <w:r w:rsidRPr="002F7E04">
      <w:rPr>
        <w:rFonts w:asciiTheme="minorHAnsi" w:hAnsiTheme="minorHAnsi" w:cstheme="minorHAnsi"/>
        <w:sz w:val="18"/>
        <w:szCs w:val="18"/>
      </w:rPr>
      <w:tab/>
    </w:r>
    <w:r w:rsidRPr="002F7E04">
      <w:rPr>
        <w:rFonts w:asciiTheme="minorHAnsi" w:hAnsiTheme="minorHAnsi" w:cstheme="minorHAnsi"/>
        <w:sz w:val="18"/>
        <w:szCs w:val="18"/>
      </w:rPr>
      <w:tab/>
    </w:r>
    <w:r w:rsidRPr="002F7E04">
      <w:rPr>
        <w:rFonts w:asciiTheme="minorHAnsi" w:hAnsiTheme="minorHAnsi" w:cstheme="minorHAnsi"/>
        <w:sz w:val="18"/>
        <w:szCs w:val="18"/>
      </w:rPr>
      <w:tab/>
    </w:r>
    <w:r w:rsidRPr="002F7E04">
      <w:rPr>
        <w:rFonts w:asciiTheme="minorHAnsi" w:hAnsiTheme="minorHAnsi" w:cstheme="minorHAnsi"/>
        <w:sz w:val="18"/>
        <w:szCs w:val="18"/>
      </w:rPr>
      <w:tab/>
    </w:r>
    <w:r w:rsidRPr="002F7E04">
      <w:rPr>
        <w:rFonts w:asciiTheme="minorHAnsi" w:hAnsiTheme="minorHAnsi" w:cstheme="minorHAnsi"/>
        <w:sz w:val="18"/>
        <w:szCs w:val="18"/>
      </w:rPr>
      <w:tab/>
      <w:t xml:space="preserve"> www.nbo.nu</w:t>
    </w:r>
    <w:r w:rsidRPr="002F7E04">
      <w:rPr>
        <w:rFonts w:asciiTheme="minorHAnsi" w:hAnsiTheme="minorHAnsi" w:cstheme="minorHAnsi"/>
        <w:sz w:val="18"/>
        <w:szCs w:val="18"/>
      </w:rPr>
      <w:tab/>
    </w:r>
  </w:p>
  <w:p w14:paraId="311335E0" w14:textId="77777777" w:rsidR="00AA5C6E" w:rsidRPr="002F7E04" w:rsidRDefault="00A60FF1">
    <w:pPr>
      <w:pStyle w:val="Sidfo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E029A" w14:textId="77777777" w:rsidR="00A60FF1" w:rsidRDefault="00A60FF1" w:rsidP="00277D18">
      <w:r>
        <w:separator/>
      </w:r>
    </w:p>
  </w:footnote>
  <w:footnote w:type="continuationSeparator" w:id="0">
    <w:p w14:paraId="260B61A4" w14:textId="77777777" w:rsidR="00A60FF1" w:rsidRDefault="00A60FF1" w:rsidP="00277D18">
      <w:r>
        <w:continuationSeparator/>
      </w:r>
    </w:p>
  </w:footnote>
  <w:footnote w:id="1">
    <w:p w14:paraId="54939EAA" w14:textId="77777777" w:rsidR="00277D18" w:rsidRDefault="00277D18" w:rsidP="00E03E40">
      <w:pPr>
        <w:pStyle w:val="Fotnotstext"/>
        <w:jc w:val="both"/>
      </w:pPr>
      <w:r>
        <w:rPr>
          <w:rStyle w:val="Fotnotsreferens"/>
        </w:rPr>
        <w:footnoteRef/>
      </w:r>
      <w:r>
        <w:t xml:space="preserve"> </w:t>
      </w:r>
      <w:r>
        <w:rPr>
          <w:rFonts w:asciiTheme="minorHAnsi" w:hAnsiTheme="minorHAnsi" w:cs="Times New Roman"/>
          <w:lang w:eastAsia="en-US"/>
        </w:rPr>
        <w:t xml:space="preserve">Noteras bör dock att då var valdeltagandet mycket lägre än vid den andra omröstningen, eftersom regeringspartiernas väljare i stor utsträckning valde att protestera mot presidentens veto med att inte deltaga i valet.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0F12" w14:textId="77777777" w:rsidR="002F7E04" w:rsidRDefault="002F7E04">
    <w:pPr>
      <w:pStyle w:val="Sidhuvud"/>
    </w:pPr>
    <w:r>
      <w:rPr>
        <w:noProof/>
        <w:color w:val="EEECE1" w:themeColor="background2"/>
        <w:lang w:val="sv-SE" w:eastAsia="sv-SE"/>
      </w:rPr>
      <w:drawing>
        <wp:anchor distT="0" distB="0" distL="114300" distR="114300" simplePos="0" relativeHeight="251659264" behindDoc="0" locked="0" layoutInCell="1" allowOverlap="1" wp14:anchorId="372B2D0A" wp14:editId="0E6BB1E0">
          <wp:simplePos x="0" y="0"/>
          <wp:positionH relativeFrom="margin">
            <wp:posOffset>-419735</wp:posOffset>
          </wp:positionH>
          <wp:positionV relativeFrom="margin">
            <wp:posOffset>-660400</wp:posOffset>
          </wp:positionV>
          <wp:extent cx="1785620" cy="600075"/>
          <wp:effectExtent l="0" t="0" r="508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O_housing_nordic_Logotype.jpg"/>
                  <pic:cNvPicPr/>
                </pic:nvPicPr>
                <pic:blipFill rotWithShape="1">
                  <a:blip r:embed="rId1" cstate="print">
                    <a:extLst>
                      <a:ext uri="{28A0092B-C50C-407E-A947-70E740481C1C}">
                        <a14:useLocalDpi xmlns:a14="http://schemas.microsoft.com/office/drawing/2010/main" val="0"/>
                      </a:ext>
                    </a:extLst>
                  </a:blip>
                  <a:srcRect l="3061" t="8058" b="-9615"/>
                  <a:stretch/>
                </pic:blipFill>
                <pic:spPr bwMode="auto">
                  <a:xfrm>
                    <a:off x="0" y="0"/>
                    <a:ext cx="178562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7EF5"/>
    <w:multiLevelType w:val="hybridMultilevel"/>
    <w:tmpl w:val="B8FC1D8A"/>
    <w:lvl w:ilvl="0" w:tplc="DC2AB4AC">
      <w:numFmt w:val="bullet"/>
      <w:lvlText w:val="-"/>
      <w:lvlJc w:val="left"/>
      <w:pPr>
        <w:ind w:left="720" w:hanging="360"/>
      </w:pPr>
      <w:rPr>
        <w:rFonts w:ascii="Calibri" w:eastAsia="Times New Roman" w:hAnsi="Calibri"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18"/>
    <w:rsid w:val="000144BE"/>
    <w:rsid w:val="0003071D"/>
    <w:rsid w:val="00033677"/>
    <w:rsid w:val="000337C6"/>
    <w:rsid w:val="00034636"/>
    <w:rsid w:val="0003598A"/>
    <w:rsid w:val="00040FAD"/>
    <w:rsid w:val="000452F5"/>
    <w:rsid w:val="0004676A"/>
    <w:rsid w:val="000648E7"/>
    <w:rsid w:val="0009389B"/>
    <w:rsid w:val="000C3151"/>
    <w:rsid w:val="000C3714"/>
    <w:rsid w:val="00113D57"/>
    <w:rsid w:val="00114557"/>
    <w:rsid w:val="00156B1B"/>
    <w:rsid w:val="00172D6F"/>
    <w:rsid w:val="001B7B1C"/>
    <w:rsid w:val="001E16C5"/>
    <w:rsid w:val="0023327A"/>
    <w:rsid w:val="0024081E"/>
    <w:rsid w:val="00267784"/>
    <w:rsid w:val="00277D18"/>
    <w:rsid w:val="002B70AB"/>
    <w:rsid w:val="002F6D1C"/>
    <w:rsid w:val="002F7E04"/>
    <w:rsid w:val="00307470"/>
    <w:rsid w:val="00336297"/>
    <w:rsid w:val="00344178"/>
    <w:rsid w:val="003C6AA5"/>
    <w:rsid w:val="003E2EB4"/>
    <w:rsid w:val="003F4D85"/>
    <w:rsid w:val="0042345C"/>
    <w:rsid w:val="0044651D"/>
    <w:rsid w:val="00463AF6"/>
    <w:rsid w:val="00474780"/>
    <w:rsid w:val="0048299F"/>
    <w:rsid w:val="00492AA7"/>
    <w:rsid w:val="00493C4B"/>
    <w:rsid w:val="005063C2"/>
    <w:rsid w:val="00513C0C"/>
    <w:rsid w:val="00527BB1"/>
    <w:rsid w:val="005423B5"/>
    <w:rsid w:val="005639F0"/>
    <w:rsid w:val="00572CB7"/>
    <w:rsid w:val="00595061"/>
    <w:rsid w:val="00596780"/>
    <w:rsid w:val="005A4F60"/>
    <w:rsid w:val="005E063E"/>
    <w:rsid w:val="005F13A7"/>
    <w:rsid w:val="00640C2C"/>
    <w:rsid w:val="0065613A"/>
    <w:rsid w:val="006779CF"/>
    <w:rsid w:val="00677AEC"/>
    <w:rsid w:val="006813E1"/>
    <w:rsid w:val="0068562C"/>
    <w:rsid w:val="0069439D"/>
    <w:rsid w:val="006B56BC"/>
    <w:rsid w:val="006C6AB7"/>
    <w:rsid w:val="00715DB0"/>
    <w:rsid w:val="0072403F"/>
    <w:rsid w:val="007B17C4"/>
    <w:rsid w:val="007B34A5"/>
    <w:rsid w:val="007D46E2"/>
    <w:rsid w:val="007E0C60"/>
    <w:rsid w:val="007E4EFF"/>
    <w:rsid w:val="00815D44"/>
    <w:rsid w:val="00842127"/>
    <w:rsid w:val="008467FF"/>
    <w:rsid w:val="00852563"/>
    <w:rsid w:val="00887A9F"/>
    <w:rsid w:val="008A253F"/>
    <w:rsid w:val="008B6897"/>
    <w:rsid w:val="008F4EA6"/>
    <w:rsid w:val="0092734A"/>
    <w:rsid w:val="00944E7B"/>
    <w:rsid w:val="009563A4"/>
    <w:rsid w:val="00990336"/>
    <w:rsid w:val="009B64DD"/>
    <w:rsid w:val="009E369D"/>
    <w:rsid w:val="009F24DD"/>
    <w:rsid w:val="00A07B23"/>
    <w:rsid w:val="00A34369"/>
    <w:rsid w:val="00A35110"/>
    <w:rsid w:val="00A60FF1"/>
    <w:rsid w:val="00B34B25"/>
    <w:rsid w:val="00B7644D"/>
    <w:rsid w:val="00C2388A"/>
    <w:rsid w:val="00C34A62"/>
    <w:rsid w:val="00C37AF2"/>
    <w:rsid w:val="00C678E6"/>
    <w:rsid w:val="00CA3252"/>
    <w:rsid w:val="00CC0304"/>
    <w:rsid w:val="00CD22DE"/>
    <w:rsid w:val="00CF2CAD"/>
    <w:rsid w:val="00D0210F"/>
    <w:rsid w:val="00D27079"/>
    <w:rsid w:val="00D475D5"/>
    <w:rsid w:val="00D75E26"/>
    <w:rsid w:val="00DB1A3B"/>
    <w:rsid w:val="00DC7A0D"/>
    <w:rsid w:val="00E03E40"/>
    <w:rsid w:val="00E04263"/>
    <w:rsid w:val="00E3479F"/>
    <w:rsid w:val="00E407C9"/>
    <w:rsid w:val="00E4263E"/>
    <w:rsid w:val="00E9526E"/>
    <w:rsid w:val="00EA4C5F"/>
    <w:rsid w:val="00EB6E4D"/>
    <w:rsid w:val="00ED3DC4"/>
    <w:rsid w:val="00F83C59"/>
    <w:rsid w:val="00F94668"/>
    <w:rsid w:val="00FC5F3B"/>
    <w:rsid w:val="00FC7D5F"/>
    <w:rsid w:val="00FF2FE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18"/>
    <w:pPr>
      <w:spacing w:after="0" w:line="240" w:lineRule="auto"/>
    </w:pPr>
    <w:rPr>
      <w:lang w:eastAsia="is-IS"/>
    </w:rPr>
  </w:style>
  <w:style w:type="paragraph" w:styleId="Rubrik1">
    <w:name w:val="heading 1"/>
    <w:basedOn w:val="Normal"/>
    <w:next w:val="Normal"/>
    <w:link w:val="Rubrik1Char"/>
    <w:uiPriority w:val="9"/>
    <w:qFormat/>
    <w:rsid w:val="00CD22DE"/>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Rubrik2">
    <w:name w:val="heading 2"/>
    <w:basedOn w:val="Normal"/>
    <w:next w:val="Normal"/>
    <w:link w:val="Rubrik2Char"/>
    <w:uiPriority w:val="9"/>
    <w:unhideWhenUsed/>
    <w:qFormat/>
    <w:rsid w:val="00CD22DE"/>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Rubrik3">
    <w:name w:val="heading 3"/>
    <w:basedOn w:val="Normal"/>
    <w:next w:val="Normal"/>
    <w:link w:val="Rubrik3Char"/>
    <w:uiPriority w:val="9"/>
    <w:semiHidden/>
    <w:unhideWhenUsed/>
    <w:qFormat/>
    <w:rsid w:val="002F7E0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22DE"/>
    <w:rPr>
      <w:rFonts w:asciiTheme="majorHAnsi" w:eastAsiaTheme="majorEastAsia" w:hAnsiTheme="majorHAnsi" w:cstheme="majorBidi"/>
      <w:b/>
      <w:bCs/>
      <w:color w:val="365F91" w:themeColor="accent1" w:themeShade="BF"/>
      <w:sz w:val="28"/>
      <w:szCs w:val="28"/>
      <w:lang w:val="en-US"/>
    </w:rPr>
  </w:style>
  <w:style w:type="character" w:customStyle="1" w:styleId="Rubrik2Char">
    <w:name w:val="Rubrik 2 Char"/>
    <w:basedOn w:val="Standardstycketeckensnitt"/>
    <w:link w:val="Rubrik2"/>
    <w:uiPriority w:val="9"/>
    <w:rsid w:val="00CD22DE"/>
    <w:rPr>
      <w:rFonts w:asciiTheme="majorHAnsi" w:eastAsiaTheme="majorEastAsia" w:hAnsiTheme="majorHAnsi" w:cstheme="majorBidi"/>
      <w:b/>
      <w:bCs/>
      <w:color w:val="4F81BD" w:themeColor="accent1"/>
      <w:sz w:val="26"/>
      <w:szCs w:val="26"/>
      <w:lang w:val="en-US"/>
    </w:rPr>
  </w:style>
  <w:style w:type="paragraph" w:styleId="Rubrik">
    <w:name w:val="Title"/>
    <w:basedOn w:val="Normal"/>
    <w:next w:val="Normal"/>
    <w:link w:val="RubrikChar"/>
    <w:uiPriority w:val="10"/>
    <w:qFormat/>
    <w:rsid w:val="00CD22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RubrikChar">
    <w:name w:val="Rubrik Char"/>
    <w:basedOn w:val="Standardstycketeckensnitt"/>
    <w:link w:val="Rubrik"/>
    <w:uiPriority w:val="10"/>
    <w:rsid w:val="00CD22DE"/>
    <w:rPr>
      <w:rFonts w:asciiTheme="majorHAnsi" w:eastAsiaTheme="majorEastAsia" w:hAnsiTheme="majorHAnsi" w:cstheme="majorBidi"/>
      <w:color w:val="17365D" w:themeColor="text2" w:themeShade="BF"/>
      <w:spacing w:val="5"/>
      <w:kern w:val="28"/>
      <w:sz w:val="52"/>
      <w:szCs w:val="52"/>
      <w:lang w:val="en-US"/>
    </w:rPr>
  </w:style>
  <w:style w:type="paragraph" w:styleId="Underrubrik">
    <w:name w:val="Subtitle"/>
    <w:basedOn w:val="Normal"/>
    <w:next w:val="Normal"/>
    <w:link w:val="UnderrubrikChar"/>
    <w:uiPriority w:val="11"/>
    <w:qFormat/>
    <w:rsid w:val="00CD22DE"/>
    <w:pPr>
      <w:numPr>
        <w:ilvl w:val="1"/>
      </w:numPr>
    </w:pPr>
    <w:rPr>
      <w:rFonts w:asciiTheme="majorHAnsi" w:eastAsiaTheme="majorEastAsia" w:hAnsiTheme="majorHAnsi" w:cstheme="majorBidi"/>
      <w:i/>
      <w:iCs/>
      <w:color w:val="4F81BD" w:themeColor="accent1"/>
      <w:spacing w:val="15"/>
      <w:lang w:val="en-US" w:eastAsia="en-US"/>
    </w:rPr>
  </w:style>
  <w:style w:type="character" w:customStyle="1" w:styleId="UnderrubrikChar">
    <w:name w:val="Underrubrik Char"/>
    <w:basedOn w:val="Standardstycketeckensnitt"/>
    <w:link w:val="Underrubrik"/>
    <w:uiPriority w:val="11"/>
    <w:rsid w:val="00CD22DE"/>
    <w:rPr>
      <w:rFonts w:asciiTheme="majorHAnsi" w:eastAsiaTheme="majorEastAsia" w:hAnsiTheme="majorHAnsi" w:cstheme="majorBidi"/>
      <w:i/>
      <w:iCs/>
      <w:color w:val="4F81BD" w:themeColor="accent1"/>
      <w:spacing w:val="15"/>
      <w:sz w:val="24"/>
      <w:szCs w:val="24"/>
      <w:lang w:val="en-US"/>
    </w:rPr>
  </w:style>
  <w:style w:type="paragraph" w:styleId="Ingetavstnd">
    <w:name w:val="No Spacing"/>
    <w:uiPriority w:val="1"/>
    <w:qFormat/>
    <w:rsid w:val="00CD22DE"/>
    <w:pPr>
      <w:spacing w:after="0" w:line="240" w:lineRule="auto"/>
    </w:pPr>
    <w:rPr>
      <w:rFonts w:eastAsia="Times New Roman" w:cs="Times New Roman"/>
      <w:lang w:val="en-US"/>
    </w:rPr>
  </w:style>
  <w:style w:type="character" w:styleId="Diskretbetoning">
    <w:name w:val="Subtle Emphasis"/>
    <w:basedOn w:val="Standardstycketeckensnitt"/>
    <w:uiPriority w:val="19"/>
    <w:qFormat/>
    <w:rsid w:val="00CD22DE"/>
    <w:rPr>
      <w:i/>
      <w:iCs/>
      <w:color w:val="808080" w:themeColor="text1" w:themeTint="7F"/>
    </w:rPr>
  </w:style>
  <w:style w:type="character" w:styleId="Stark">
    <w:name w:val="Strong"/>
    <w:basedOn w:val="Standardstycketeckensnitt"/>
    <w:uiPriority w:val="22"/>
    <w:qFormat/>
    <w:rsid w:val="00CD22DE"/>
    <w:rPr>
      <w:b/>
      <w:bCs/>
    </w:rPr>
  </w:style>
  <w:style w:type="character" w:styleId="Betoning">
    <w:name w:val="Emphasis"/>
    <w:basedOn w:val="Standardstycketeckensnitt"/>
    <w:uiPriority w:val="20"/>
    <w:qFormat/>
    <w:rsid w:val="00CD22DE"/>
    <w:rPr>
      <w:i/>
      <w:iCs/>
    </w:rPr>
  </w:style>
  <w:style w:type="table" w:styleId="Ljusskuggning-dekorfrg1">
    <w:name w:val="Light Shading Accent 1"/>
    <w:basedOn w:val="Normaltabell"/>
    <w:uiPriority w:val="60"/>
    <w:rsid w:val="00277D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tnotstext">
    <w:name w:val="footnote text"/>
    <w:basedOn w:val="Normal"/>
    <w:link w:val="FotnotstextChar"/>
    <w:uiPriority w:val="99"/>
    <w:semiHidden/>
    <w:unhideWhenUsed/>
    <w:rsid w:val="00277D18"/>
    <w:rPr>
      <w:sz w:val="20"/>
      <w:szCs w:val="20"/>
    </w:rPr>
  </w:style>
  <w:style w:type="character" w:customStyle="1" w:styleId="FotnotstextChar">
    <w:name w:val="Fotnotstext Char"/>
    <w:basedOn w:val="Standardstycketeckensnitt"/>
    <w:link w:val="Fotnotstext"/>
    <w:uiPriority w:val="99"/>
    <w:semiHidden/>
    <w:rsid w:val="00277D18"/>
    <w:rPr>
      <w:sz w:val="20"/>
      <w:szCs w:val="20"/>
      <w:lang w:eastAsia="is-IS"/>
    </w:rPr>
  </w:style>
  <w:style w:type="character" w:styleId="Fotnotsreferens">
    <w:name w:val="footnote reference"/>
    <w:basedOn w:val="Standardstycketeckensnitt"/>
    <w:uiPriority w:val="99"/>
    <w:semiHidden/>
    <w:unhideWhenUsed/>
    <w:rsid w:val="00277D18"/>
    <w:rPr>
      <w:vertAlign w:val="superscript"/>
    </w:rPr>
  </w:style>
  <w:style w:type="paragraph" w:styleId="Sidhuvud">
    <w:name w:val="header"/>
    <w:basedOn w:val="Normal"/>
    <w:link w:val="SidhuvudChar"/>
    <w:uiPriority w:val="99"/>
    <w:unhideWhenUsed/>
    <w:rsid w:val="00277D18"/>
    <w:pPr>
      <w:tabs>
        <w:tab w:val="center" w:pos="4536"/>
        <w:tab w:val="right" w:pos="9072"/>
      </w:tabs>
    </w:pPr>
  </w:style>
  <w:style w:type="character" w:customStyle="1" w:styleId="SidhuvudChar">
    <w:name w:val="Sidhuvud Char"/>
    <w:basedOn w:val="Standardstycketeckensnitt"/>
    <w:link w:val="Sidhuvud"/>
    <w:uiPriority w:val="99"/>
    <w:rsid w:val="00277D18"/>
    <w:rPr>
      <w:lang w:eastAsia="is-IS"/>
    </w:rPr>
  </w:style>
  <w:style w:type="paragraph" w:styleId="Sidfot">
    <w:name w:val="footer"/>
    <w:basedOn w:val="Normal"/>
    <w:link w:val="SidfotChar"/>
    <w:unhideWhenUsed/>
    <w:rsid w:val="00277D18"/>
    <w:pPr>
      <w:tabs>
        <w:tab w:val="center" w:pos="4536"/>
        <w:tab w:val="right" w:pos="9072"/>
      </w:tabs>
    </w:pPr>
  </w:style>
  <w:style w:type="character" w:customStyle="1" w:styleId="SidfotChar">
    <w:name w:val="Sidfot Char"/>
    <w:basedOn w:val="Standardstycketeckensnitt"/>
    <w:link w:val="Sidfot"/>
    <w:uiPriority w:val="99"/>
    <w:rsid w:val="00277D18"/>
    <w:rPr>
      <w:lang w:eastAsia="is-IS"/>
    </w:rPr>
  </w:style>
  <w:style w:type="paragraph" w:styleId="Liststycke">
    <w:name w:val="List Paragraph"/>
    <w:basedOn w:val="Normal"/>
    <w:uiPriority w:val="34"/>
    <w:qFormat/>
    <w:rsid w:val="008F4EA6"/>
    <w:pPr>
      <w:ind w:left="720"/>
      <w:contextualSpacing/>
    </w:pPr>
  </w:style>
  <w:style w:type="paragraph" w:styleId="Ballongtext">
    <w:name w:val="Balloon Text"/>
    <w:basedOn w:val="Normal"/>
    <w:link w:val="BallongtextChar"/>
    <w:uiPriority w:val="99"/>
    <w:semiHidden/>
    <w:unhideWhenUsed/>
    <w:rsid w:val="00E03E40"/>
    <w:rPr>
      <w:rFonts w:ascii="Tahoma" w:hAnsi="Tahoma" w:cs="Tahoma"/>
      <w:sz w:val="16"/>
      <w:szCs w:val="16"/>
    </w:rPr>
  </w:style>
  <w:style w:type="character" w:customStyle="1" w:styleId="BallongtextChar">
    <w:name w:val="Ballongtext Char"/>
    <w:basedOn w:val="Standardstycketeckensnitt"/>
    <w:link w:val="Ballongtext"/>
    <w:uiPriority w:val="99"/>
    <w:semiHidden/>
    <w:rsid w:val="00E03E40"/>
    <w:rPr>
      <w:rFonts w:ascii="Tahoma" w:hAnsi="Tahoma" w:cs="Tahoma"/>
      <w:sz w:val="16"/>
      <w:szCs w:val="16"/>
      <w:lang w:eastAsia="is-IS"/>
    </w:rPr>
  </w:style>
  <w:style w:type="character" w:customStyle="1" w:styleId="Rubrik3Char">
    <w:name w:val="Rubrik 3 Char"/>
    <w:basedOn w:val="Standardstycketeckensnitt"/>
    <w:link w:val="Rubrik3"/>
    <w:uiPriority w:val="9"/>
    <w:semiHidden/>
    <w:rsid w:val="002F7E04"/>
    <w:rPr>
      <w:rFonts w:asciiTheme="majorHAnsi" w:eastAsiaTheme="majorEastAsia" w:hAnsiTheme="majorHAnsi" w:cstheme="majorBidi"/>
      <w:b/>
      <w:bCs/>
      <w:color w:val="4F81BD" w:themeColor="accent1"/>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18"/>
    <w:pPr>
      <w:spacing w:after="0" w:line="240" w:lineRule="auto"/>
    </w:pPr>
    <w:rPr>
      <w:lang w:eastAsia="is-IS"/>
    </w:rPr>
  </w:style>
  <w:style w:type="paragraph" w:styleId="Rubrik1">
    <w:name w:val="heading 1"/>
    <w:basedOn w:val="Normal"/>
    <w:next w:val="Normal"/>
    <w:link w:val="Rubrik1Char"/>
    <w:uiPriority w:val="9"/>
    <w:qFormat/>
    <w:rsid w:val="00CD22DE"/>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Rubrik2">
    <w:name w:val="heading 2"/>
    <w:basedOn w:val="Normal"/>
    <w:next w:val="Normal"/>
    <w:link w:val="Rubrik2Char"/>
    <w:uiPriority w:val="9"/>
    <w:unhideWhenUsed/>
    <w:qFormat/>
    <w:rsid w:val="00CD22DE"/>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Rubrik3">
    <w:name w:val="heading 3"/>
    <w:basedOn w:val="Normal"/>
    <w:next w:val="Normal"/>
    <w:link w:val="Rubrik3Char"/>
    <w:uiPriority w:val="9"/>
    <w:semiHidden/>
    <w:unhideWhenUsed/>
    <w:qFormat/>
    <w:rsid w:val="002F7E0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22DE"/>
    <w:rPr>
      <w:rFonts w:asciiTheme="majorHAnsi" w:eastAsiaTheme="majorEastAsia" w:hAnsiTheme="majorHAnsi" w:cstheme="majorBidi"/>
      <w:b/>
      <w:bCs/>
      <w:color w:val="365F91" w:themeColor="accent1" w:themeShade="BF"/>
      <w:sz w:val="28"/>
      <w:szCs w:val="28"/>
      <w:lang w:val="en-US"/>
    </w:rPr>
  </w:style>
  <w:style w:type="character" w:customStyle="1" w:styleId="Rubrik2Char">
    <w:name w:val="Rubrik 2 Char"/>
    <w:basedOn w:val="Standardstycketeckensnitt"/>
    <w:link w:val="Rubrik2"/>
    <w:uiPriority w:val="9"/>
    <w:rsid w:val="00CD22DE"/>
    <w:rPr>
      <w:rFonts w:asciiTheme="majorHAnsi" w:eastAsiaTheme="majorEastAsia" w:hAnsiTheme="majorHAnsi" w:cstheme="majorBidi"/>
      <w:b/>
      <w:bCs/>
      <w:color w:val="4F81BD" w:themeColor="accent1"/>
      <w:sz w:val="26"/>
      <w:szCs w:val="26"/>
      <w:lang w:val="en-US"/>
    </w:rPr>
  </w:style>
  <w:style w:type="paragraph" w:styleId="Rubrik">
    <w:name w:val="Title"/>
    <w:basedOn w:val="Normal"/>
    <w:next w:val="Normal"/>
    <w:link w:val="RubrikChar"/>
    <w:uiPriority w:val="10"/>
    <w:qFormat/>
    <w:rsid w:val="00CD22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RubrikChar">
    <w:name w:val="Rubrik Char"/>
    <w:basedOn w:val="Standardstycketeckensnitt"/>
    <w:link w:val="Rubrik"/>
    <w:uiPriority w:val="10"/>
    <w:rsid w:val="00CD22DE"/>
    <w:rPr>
      <w:rFonts w:asciiTheme="majorHAnsi" w:eastAsiaTheme="majorEastAsia" w:hAnsiTheme="majorHAnsi" w:cstheme="majorBidi"/>
      <w:color w:val="17365D" w:themeColor="text2" w:themeShade="BF"/>
      <w:spacing w:val="5"/>
      <w:kern w:val="28"/>
      <w:sz w:val="52"/>
      <w:szCs w:val="52"/>
      <w:lang w:val="en-US"/>
    </w:rPr>
  </w:style>
  <w:style w:type="paragraph" w:styleId="Underrubrik">
    <w:name w:val="Subtitle"/>
    <w:basedOn w:val="Normal"/>
    <w:next w:val="Normal"/>
    <w:link w:val="UnderrubrikChar"/>
    <w:uiPriority w:val="11"/>
    <w:qFormat/>
    <w:rsid w:val="00CD22DE"/>
    <w:pPr>
      <w:numPr>
        <w:ilvl w:val="1"/>
      </w:numPr>
    </w:pPr>
    <w:rPr>
      <w:rFonts w:asciiTheme="majorHAnsi" w:eastAsiaTheme="majorEastAsia" w:hAnsiTheme="majorHAnsi" w:cstheme="majorBidi"/>
      <w:i/>
      <w:iCs/>
      <w:color w:val="4F81BD" w:themeColor="accent1"/>
      <w:spacing w:val="15"/>
      <w:lang w:val="en-US" w:eastAsia="en-US"/>
    </w:rPr>
  </w:style>
  <w:style w:type="character" w:customStyle="1" w:styleId="UnderrubrikChar">
    <w:name w:val="Underrubrik Char"/>
    <w:basedOn w:val="Standardstycketeckensnitt"/>
    <w:link w:val="Underrubrik"/>
    <w:uiPriority w:val="11"/>
    <w:rsid w:val="00CD22DE"/>
    <w:rPr>
      <w:rFonts w:asciiTheme="majorHAnsi" w:eastAsiaTheme="majorEastAsia" w:hAnsiTheme="majorHAnsi" w:cstheme="majorBidi"/>
      <w:i/>
      <w:iCs/>
      <w:color w:val="4F81BD" w:themeColor="accent1"/>
      <w:spacing w:val="15"/>
      <w:sz w:val="24"/>
      <w:szCs w:val="24"/>
      <w:lang w:val="en-US"/>
    </w:rPr>
  </w:style>
  <w:style w:type="paragraph" w:styleId="Ingetavstnd">
    <w:name w:val="No Spacing"/>
    <w:uiPriority w:val="1"/>
    <w:qFormat/>
    <w:rsid w:val="00CD22DE"/>
    <w:pPr>
      <w:spacing w:after="0" w:line="240" w:lineRule="auto"/>
    </w:pPr>
    <w:rPr>
      <w:rFonts w:eastAsia="Times New Roman" w:cs="Times New Roman"/>
      <w:lang w:val="en-US"/>
    </w:rPr>
  </w:style>
  <w:style w:type="character" w:styleId="Diskretbetoning">
    <w:name w:val="Subtle Emphasis"/>
    <w:basedOn w:val="Standardstycketeckensnitt"/>
    <w:uiPriority w:val="19"/>
    <w:qFormat/>
    <w:rsid w:val="00CD22DE"/>
    <w:rPr>
      <w:i/>
      <w:iCs/>
      <w:color w:val="808080" w:themeColor="text1" w:themeTint="7F"/>
    </w:rPr>
  </w:style>
  <w:style w:type="character" w:styleId="Stark">
    <w:name w:val="Strong"/>
    <w:basedOn w:val="Standardstycketeckensnitt"/>
    <w:uiPriority w:val="22"/>
    <w:qFormat/>
    <w:rsid w:val="00CD22DE"/>
    <w:rPr>
      <w:b/>
      <w:bCs/>
    </w:rPr>
  </w:style>
  <w:style w:type="character" w:styleId="Betoning">
    <w:name w:val="Emphasis"/>
    <w:basedOn w:val="Standardstycketeckensnitt"/>
    <w:uiPriority w:val="20"/>
    <w:qFormat/>
    <w:rsid w:val="00CD22DE"/>
    <w:rPr>
      <w:i/>
      <w:iCs/>
    </w:rPr>
  </w:style>
  <w:style w:type="table" w:styleId="Ljusskuggning-dekorfrg1">
    <w:name w:val="Light Shading Accent 1"/>
    <w:basedOn w:val="Normaltabell"/>
    <w:uiPriority w:val="60"/>
    <w:rsid w:val="00277D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tnotstext">
    <w:name w:val="footnote text"/>
    <w:basedOn w:val="Normal"/>
    <w:link w:val="FotnotstextChar"/>
    <w:uiPriority w:val="99"/>
    <w:semiHidden/>
    <w:unhideWhenUsed/>
    <w:rsid w:val="00277D18"/>
    <w:rPr>
      <w:sz w:val="20"/>
      <w:szCs w:val="20"/>
    </w:rPr>
  </w:style>
  <w:style w:type="character" w:customStyle="1" w:styleId="FotnotstextChar">
    <w:name w:val="Fotnotstext Char"/>
    <w:basedOn w:val="Standardstycketeckensnitt"/>
    <w:link w:val="Fotnotstext"/>
    <w:uiPriority w:val="99"/>
    <w:semiHidden/>
    <w:rsid w:val="00277D18"/>
    <w:rPr>
      <w:sz w:val="20"/>
      <w:szCs w:val="20"/>
      <w:lang w:eastAsia="is-IS"/>
    </w:rPr>
  </w:style>
  <w:style w:type="character" w:styleId="Fotnotsreferens">
    <w:name w:val="footnote reference"/>
    <w:basedOn w:val="Standardstycketeckensnitt"/>
    <w:uiPriority w:val="99"/>
    <w:semiHidden/>
    <w:unhideWhenUsed/>
    <w:rsid w:val="00277D18"/>
    <w:rPr>
      <w:vertAlign w:val="superscript"/>
    </w:rPr>
  </w:style>
  <w:style w:type="paragraph" w:styleId="Sidhuvud">
    <w:name w:val="header"/>
    <w:basedOn w:val="Normal"/>
    <w:link w:val="SidhuvudChar"/>
    <w:uiPriority w:val="99"/>
    <w:unhideWhenUsed/>
    <w:rsid w:val="00277D18"/>
    <w:pPr>
      <w:tabs>
        <w:tab w:val="center" w:pos="4536"/>
        <w:tab w:val="right" w:pos="9072"/>
      </w:tabs>
    </w:pPr>
  </w:style>
  <w:style w:type="character" w:customStyle="1" w:styleId="SidhuvudChar">
    <w:name w:val="Sidhuvud Char"/>
    <w:basedOn w:val="Standardstycketeckensnitt"/>
    <w:link w:val="Sidhuvud"/>
    <w:uiPriority w:val="99"/>
    <w:rsid w:val="00277D18"/>
    <w:rPr>
      <w:lang w:eastAsia="is-IS"/>
    </w:rPr>
  </w:style>
  <w:style w:type="paragraph" w:styleId="Sidfot">
    <w:name w:val="footer"/>
    <w:basedOn w:val="Normal"/>
    <w:link w:val="SidfotChar"/>
    <w:unhideWhenUsed/>
    <w:rsid w:val="00277D18"/>
    <w:pPr>
      <w:tabs>
        <w:tab w:val="center" w:pos="4536"/>
        <w:tab w:val="right" w:pos="9072"/>
      </w:tabs>
    </w:pPr>
  </w:style>
  <w:style w:type="character" w:customStyle="1" w:styleId="SidfotChar">
    <w:name w:val="Sidfot Char"/>
    <w:basedOn w:val="Standardstycketeckensnitt"/>
    <w:link w:val="Sidfot"/>
    <w:uiPriority w:val="99"/>
    <w:rsid w:val="00277D18"/>
    <w:rPr>
      <w:lang w:eastAsia="is-IS"/>
    </w:rPr>
  </w:style>
  <w:style w:type="paragraph" w:styleId="Liststycke">
    <w:name w:val="List Paragraph"/>
    <w:basedOn w:val="Normal"/>
    <w:uiPriority w:val="34"/>
    <w:qFormat/>
    <w:rsid w:val="008F4EA6"/>
    <w:pPr>
      <w:ind w:left="720"/>
      <w:contextualSpacing/>
    </w:pPr>
  </w:style>
  <w:style w:type="paragraph" w:styleId="Ballongtext">
    <w:name w:val="Balloon Text"/>
    <w:basedOn w:val="Normal"/>
    <w:link w:val="BallongtextChar"/>
    <w:uiPriority w:val="99"/>
    <w:semiHidden/>
    <w:unhideWhenUsed/>
    <w:rsid w:val="00E03E40"/>
    <w:rPr>
      <w:rFonts w:ascii="Tahoma" w:hAnsi="Tahoma" w:cs="Tahoma"/>
      <w:sz w:val="16"/>
      <w:szCs w:val="16"/>
    </w:rPr>
  </w:style>
  <w:style w:type="character" w:customStyle="1" w:styleId="BallongtextChar">
    <w:name w:val="Ballongtext Char"/>
    <w:basedOn w:val="Standardstycketeckensnitt"/>
    <w:link w:val="Ballongtext"/>
    <w:uiPriority w:val="99"/>
    <w:semiHidden/>
    <w:rsid w:val="00E03E40"/>
    <w:rPr>
      <w:rFonts w:ascii="Tahoma" w:hAnsi="Tahoma" w:cs="Tahoma"/>
      <w:sz w:val="16"/>
      <w:szCs w:val="16"/>
      <w:lang w:eastAsia="is-IS"/>
    </w:rPr>
  </w:style>
  <w:style w:type="character" w:customStyle="1" w:styleId="Rubrik3Char">
    <w:name w:val="Rubrik 3 Char"/>
    <w:basedOn w:val="Standardstycketeckensnitt"/>
    <w:link w:val="Rubrik3"/>
    <w:uiPriority w:val="9"/>
    <w:semiHidden/>
    <w:rsid w:val="002F7E04"/>
    <w:rPr>
      <w:rFonts w:asciiTheme="majorHAnsi" w:eastAsiaTheme="majorEastAsia" w:hAnsiTheme="majorHAnsi" w:cstheme="majorBidi"/>
      <w:b/>
      <w:bCs/>
      <w:color w:val="4F81BD" w:themeColor="accent1"/>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243;n%20R&#250;nar\Desktop\NBO%20j&#250;n&#237;%202011\Bostadsbyggandet%20199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243;n%20R&#250;nar\Desktop\A&#240;altaf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s-IS">
                <a:solidFill>
                  <a:schemeClr val="tx2">
                    <a:lumMod val="60000"/>
                    <a:lumOff val="40000"/>
                  </a:schemeClr>
                </a:solidFill>
              </a:rPr>
              <a:t>Bostadsbyggandet</a:t>
            </a:r>
            <a:r>
              <a:rPr lang="is-IS" baseline="0">
                <a:solidFill>
                  <a:schemeClr val="tx2">
                    <a:lumMod val="60000"/>
                    <a:lumOff val="40000"/>
                  </a:schemeClr>
                </a:solidFill>
              </a:rPr>
              <a:t> på Island 1990-2010</a:t>
            </a:r>
            <a:endParaRPr lang="is-IS">
              <a:solidFill>
                <a:schemeClr val="tx2">
                  <a:lumMod val="60000"/>
                  <a:lumOff val="40000"/>
                </a:schemeClr>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Blað1!$B$5</c:f>
              <c:strCache>
                <c:ptCount val="1"/>
                <c:pt idx="0">
                  <c:v>Påbörjade</c:v>
                </c:pt>
              </c:strCache>
            </c:strRef>
          </c:tx>
          <c:invertIfNegative val="0"/>
          <c:dLbls>
            <c:txPr>
              <a:bodyPr/>
              <a:lstStyle/>
              <a:p>
                <a:pPr>
                  <a:defRPr sz="600" b="1" i="1" baseline="0"/>
                </a:pPr>
                <a:endParaRPr lang="sv-SE"/>
              </a:p>
            </c:txPr>
            <c:showLegendKey val="0"/>
            <c:showVal val="1"/>
            <c:showCatName val="0"/>
            <c:showSerName val="0"/>
            <c:showPercent val="0"/>
            <c:showBubbleSize val="0"/>
            <c:showLeaderLines val="0"/>
          </c:dLbls>
          <c:cat>
            <c:strRef>
              <c:f>Blað1!$A$6:$A$26</c:f>
              <c:strCach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strCache>
            </c:strRef>
          </c:cat>
          <c:val>
            <c:numRef>
              <c:f>Blað1!$B$6:$B$26</c:f>
              <c:numCache>
                <c:formatCode>General</c:formatCode>
                <c:ptCount val="21"/>
                <c:pt idx="0">
                  <c:v>1929</c:v>
                </c:pt>
                <c:pt idx="1">
                  <c:v>1470</c:v>
                </c:pt>
                <c:pt idx="2">
                  <c:v>1495</c:v>
                </c:pt>
                <c:pt idx="3">
                  <c:v>1376</c:v>
                </c:pt>
                <c:pt idx="4">
                  <c:v>1350</c:v>
                </c:pt>
                <c:pt idx="5">
                  <c:v>1234</c:v>
                </c:pt>
                <c:pt idx="6">
                  <c:v>1279</c:v>
                </c:pt>
                <c:pt idx="7">
                  <c:v>1165</c:v>
                </c:pt>
                <c:pt idx="8">
                  <c:v>1016</c:v>
                </c:pt>
                <c:pt idx="9">
                  <c:v>1266</c:v>
                </c:pt>
                <c:pt idx="10">
                  <c:v>1643</c:v>
                </c:pt>
                <c:pt idx="11">
                  <c:v>1811</c:v>
                </c:pt>
                <c:pt idx="12">
                  <c:v>2360</c:v>
                </c:pt>
                <c:pt idx="13">
                  <c:v>2688</c:v>
                </c:pt>
                <c:pt idx="14">
                  <c:v>2751</c:v>
                </c:pt>
                <c:pt idx="15">
                  <c:v>4393</c:v>
                </c:pt>
                <c:pt idx="16">
                  <c:v>3746</c:v>
                </c:pt>
                <c:pt idx="17">
                  <c:v>4446</c:v>
                </c:pt>
                <c:pt idx="18">
                  <c:v>3212</c:v>
                </c:pt>
                <c:pt idx="19">
                  <c:v>208</c:v>
                </c:pt>
                <c:pt idx="20">
                  <c:v>317</c:v>
                </c:pt>
              </c:numCache>
            </c:numRef>
          </c:val>
        </c:ser>
        <c:ser>
          <c:idx val="1"/>
          <c:order val="1"/>
          <c:tx>
            <c:strRef>
              <c:f>Blað1!$C$5</c:f>
              <c:strCache>
                <c:ptCount val="1"/>
                <c:pt idx="0">
                  <c:v>Färdigställda</c:v>
                </c:pt>
              </c:strCache>
            </c:strRef>
          </c:tx>
          <c:invertIfNegative val="0"/>
          <c:dLbls>
            <c:txPr>
              <a:bodyPr/>
              <a:lstStyle/>
              <a:p>
                <a:pPr>
                  <a:defRPr sz="600" b="1" i="1" baseline="0"/>
                </a:pPr>
                <a:endParaRPr lang="sv-SE"/>
              </a:p>
            </c:txPr>
            <c:showLegendKey val="0"/>
            <c:showVal val="1"/>
            <c:showCatName val="0"/>
            <c:showSerName val="0"/>
            <c:showPercent val="0"/>
            <c:showBubbleSize val="0"/>
            <c:showLeaderLines val="0"/>
          </c:dLbls>
          <c:cat>
            <c:strRef>
              <c:f>Blað1!$A$6:$A$26</c:f>
              <c:strCach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strCache>
            </c:strRef>
          </c:cat>
          <c:val>
            <c:numRef>
              <c:f>Blað1!$C$6:$C$26</c:f>
              <c:numCache>
                <c:formatCode>General</c:formatCode>
                <c:ptCount val="21"/>
                <c:pt idx="0">
                  <c:v>1758</c:v>
                </c:pt>
                <c:pt idx="1">
                  <c:v>1611</c:v>
                </c:pt>
                <c:pt idx="2">
                  <c:v>1600</c:v>
                </c:pt>
                <c:pt idx="3">
                  <c:v>1604</c:v>
                </c:pt>
                <c:pt idx="4">
                  <c:v>1714</c:v>
                </c:pt>
                <c:pt idx="5">
                  <c:v>1236</c:v>
                </c:pt>
                <c:pt idx="6">
                  <c:v>1620</c:v>
                </c:pt>
                <c:pt idx="7">
                  <c:v>1369</c:v>
                </c:pt>
                <c:pt idx="8">
                  <c:v>1427</c:v>
                </c:pt>
                <c:pt idx="9">
                  <c:v>1381</c:v>
                </c:pt>
                <c:pt idx="10">
                  <c:v>1258</c:v>
                </c:pt>
                <c:pt idx="11">
                  <c:v>1711</c:v>
                </c:pt>
                <c:pt idx="12">
                  <c:v>2140</c:v>
                </c:pt>
                <c:pt idx="13">
                  <c:v>2311</c:v>
                </c:pt>
                <c:pt idx="14">
                  <c:v>2355</c:v>
                </c:pt>
                <c:pt idx="15">
                  <c:v>3106</c:v>
                </c:pt>
                <c:pt idx="16">
                  <c:v>3294</c:v>
                </c:pt>
                <c:pt idx="17">
                  <c:v>3348</c:v>
                </c:pt>
                <c:pt idx="18">
                  <c:v>2968</c:v>
                </c:pt>
                <c:pt idx="19">
                  <c:v>898</c:v>
                </c:pt>
                <c:pt idx="20">
                  <c:v>1137</c:v>
                </c:pt>
              </c:numCache>
            </c:numRef>
          </c:val>
        </c:ser>
        <c:dLbls>
          <c:showLegendKey val="0"/>
          <c:showVal val="1"/>
          <c:showCatName val="0"/>
          <c:showSerName val="0"/>
          <c:showPercent val="0"/>
          <c:showBubbleSize val="0"/>
        </c:dLbls>
        <c:gapWidth val="150"/>
        <c:shape val="box"/>
        <c:axId val="148259584"/>
        <c:axId val="148261120"/>
        <c:axId val="0"/>
      </c:bar3DChart>
      <c:catAx>
        <c:axId val="148259584"/>
        <c:scaling>
          <c:orientation val="minMax"/>
        </c:scaling>
        <c:delete val="0"/>
        <c:axPos val="b"/>
        <c:majorTickMark val="out"/>
        <c:minorTickMark val="none"/>
        <c:tickLblPos val="nextTo"/>
        <c:txPr>
          <a:bodyPr/>
          <a:lstStyle/>
          <a:p>
            <a:pPr>
              <a:defRPr sz="700" b="1" i="0" baseline="0"/>
            </a:pPr>
            <a:endParaRPr lang="sv-SE"/>
          </a:p>
        </c:txPr>
        <c:crossAx val="148261120"/>
        <c:crosses val="autoZero"/>
        <c:auto val="1"/>
        <c:lblAlgn val="ctr"/>
        <c:lblOffset val="100"/>
        <c:noMultiLvlLbl val="0"/>
      </c:catAx>
      <c:valAx>
        <c:axId val="148261120"/>
        <c:scaling>
          <c:orientation val="minMax"/>
        </c:scaling>
        <c:delete val="0"/>
        <c:axPos val="l"/>
        <c:majorGridlines/>
        <c:numFmt formatCode="General" sourceLinked="1"/>
        <c:majorTickMark val="out"/>
        <c:minorTickMark val="none"/>
        <c:tickLblPos val="nextTo"/>
        <c:txPr>
          <a:bodyPr/>
          <a:lstStyle/>
          <a:p>
            <a:pPr>
              <a:defRPr sz="700" b="1" i="0" baseline="0"/>
            </a:pPr>
            <a:endParaRPr lang="sv-SE"/>
          </a:p>
        </c:txPr>
        <c:crossAx val="148259584"/>
        <c:crosses val="autoZero"/>
        <c:crossBetween val="between"/>
      </c:valAx>
    </c:plotArea>
    <c:legend>
      <c:legendPos val="b"/>
      <c:overlay val="0"/>
      <c:txPr>
        <a:bodyPr/>
        <a:lstStyle/>
        <a:p>
          <a:pPr>
            <a:defRPr b="1" i="0" baseline="0"/>
          </a:pPr>
          <a:endParaRPr lang="sv-S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800" b="1" i="0" u="none" strike="noStrike" baseline="0">
                <a:solidFill>
                  <a:schemeClr val="tx2">
                    <a:lumMod val="60000"/>
                    <a:lumOff val="40000"/>
                  </a:schemeClr>
                </a:solidFill>
              </a:rPr>
              <a:t>Fastighetspriserna i Reykjaviks-området</a:t>
            </a:r>
          </a:p>
          <a:p>
            <a:pPr>
              <a:defRPr/>
            </a:pPr>
            <a:r>
              <a:rPr lang="en-US" sz="1800" b="1" i="0" u="none" strike="noStrike" baseline="0">
                <a:solidFill>
                  <a:schemeClr val="tx2">
                    <a:lumMod val="60000"/>
                    <a:lumOff val="40000"/>
                  </a:schemeClr>
                </a:solidFill>
              </a:rPr>
              <a:t>2002-2011</a:t>
            </a:r>
            <a:endParaRPr lang="is-IS">
              <a:solidFill>
                <a:schemeClr val="tx2">
                  <a:lumMod val="60000"/>
                  <a:lumOff val="40000"/>
                </a:schemeClr>
              </a:solidFill>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6.6386480473607082E-2"/>
          <c:y val="0.23742224804096279"/>
          <c:w val="0.90769396432037863"/>
          <c:h val="0.67116850367633285"/>
        </c:manualLayout>
      </c:layout>
      <c:bar3DChart>
        <c:barDir val="col"/>
        <c:grouping val="clustered"/>
        <c:varyColors val="0"/>
        <c:ser>
          <c:idx val="0"/>
          <c:order val="0"/>
          <c:tx>
            <c:strRef>
              <c:f>Blað4!$B$219</c:f>
              <c:strCache>
                <c:ptCount val="1"/>
                <c:pt idx="0">
                  <c:v>Fasteignaverð</c:v>
                </c:pt>
              </c:strCache>
            </c:strRef>
          </c:tx>
          <c:invertIfNegative val="0"/>
          <c:dLbls>
            <c:txPr>
              <a:bodyPr/>
              <a:lstStyle/>
              <a:p>
                <a:pPr>
                  <a:defRPr sz="600" b="1" i="1" baseline="0"/>
                </a:pPr>
                <a:endParaRPr lang="sv-SE"/>
              </a:p>
            </c:txPr>
            <c:showLegendKey val="0"/>
            <c:showVal val="1"/>
            <c:showCatName val="0"/>
            <c:showSerName val="0"/>
            <c:showPercent val="0"/>
            <c:showBubbleSize val="0"/>
            <c:showLeaderLines val="0"/>
          </c:dLbls>
          <c:cat>
            <c:numRef>
              <c:f>Blað4!$A$220:$A$255</c:f>
              <c:numCache>
                <c:formatCode>General</c:formatCode>
                <c:ptCount val="36"/>
                <c:pt idx="0">
                  <c:v>2002</c:v>
                </c:pt>
                <c:pt idx="4">
                  <c:v>2003</c:v>
                </c:pt>
                <c:pt idx="8">
                  <c:v>2004</c:v>
                </c:pt>
                <c:pt idx="12">
                  <c:v>2005</c:v>
                </c:pt>
                <c:pt idx="16">
                  <c:v>2006</c:v>
                </c:pt>
                <c:pt idx="20">
                  <c:v>2007</c:v>
                </c:pt>
                <c:pt idx="24">
                  <c:v>2008</c:v>
                </c:pt>
                <c:pt idx="27">
                  <c:v>2009</c:v>
                </c:pt>
                <c:pt idx="31">
                  <c:v>2010</c:v>
                </c:pt>
                <c:pt idx="35">
                  <c:v>2011</c:v>
                </c:pt>
              </c:numCache>
            </c:numRef>
          </c:cat>
          <c:val>
            <c:numRef>
              <c:f>Blað4!$B$220:$B$255</c:f>
              <c:numCache>
                <c:formatCode>0</c:formatCode>
                <c:ptCount val="36"/>
                <c:pt idx="0">
                  <c:v>100</c:v>
                </c:pt>
                <c:pt idx="1">
                  <c:v>99.602780536245206</c:v>
                </c:pt>
                <c:pt idx="2">
                  <c:v>101.48957298907646</c:v>
                </c:pt>
                <c:pt idx="3">
                  <c:v>104.27010923535256</c:v>
                </c:pt>
                <c:pt idx="4">
                  <c:v>107.64647467725918</c:v>
                </c:pt>
                <c:pt idx="5">
                  <c:v>109.9304865938431</c:v>
                </c:pt>
                <c:pt idx="6">
                  <c:v>113.30685203574915</c:v>
                </c:pt>
                <c:pt idx="7">
                  <c:v>113.30685203574915</c:v>
                </c:pt>
                <c:pt idx="8">
                  <c:v>114.99503475670308</c:v>
                </c:pt>
                <c:pt idx="9">
                  <c:v>118.86792452830291</c:v>
                </c:pt>
                <c:pt idx="10">
                  <c:v>122.64150943396272</c:v>
                </c:pt>
                <c:pt idx="11">
                  <c:v>128.99702085402313</c:v>
                </c:pt>
                <c:pt idx="12">
                  <c:v>144.09136047666459</c:v>
                </c:pt>
                <c:pt idx="13">
                  <c:v>157.69612711022847</c:v>
                </c:pt>
                <c:pt idx="14">
                  <c:v>163.95233366434954</c:v>
                </c:pt>
                <c:pt idx="15">
                  <c:v>165.9384309831197</c:v>
                </c:pt>
                <c:pt idx="16">
                  <c:v>169.31479642502484</c:v>
                </c:pt>
                <c:pt idx="17">
                  <c:v>168.9175769612711</c:v>
                </c:pt>
                <c:pt idx="18">
                  <c:v>166.03773584905659</c:v>
                </c:pt>
                <c:pt idx="19">
                  <c:v>163.65441906653427</c:v>
                </c:pt>
                <c:pt idx="20">
                  <c:v>168.02383316782522</c:v>
                </c:pt>
                <c:pt idx="21">
                  <c:v>174.18073485600794</c:v>
                </c:pt>
                <c:pt idx="22">
                  <c:v>178.35153922542204</c:v>
                </c:pt>
                <c:pt idx="23">
                  <c:v>179.34458788480632</c:v>
                </c:pt>
                <c:pt idx="24">
                  <c:v>175.86891757696247</c:v>
                </c:pt>
                <c:pt idx="25">
                  <c:v>162.46276067527307</c:v>
                </c:pt>
                <c:pt idx="26">
                  <c:v>158.88778550148967</c:v>
                </c:pt>
                <c:pt idx="27">
                  <c:v>140.51638530287985</c:v>
                </c:pt>
                <c:pt idx="28">
                  <c:v>130.28798411122145</c:v>
                </c:pt>
                <c:pt idx="29">
                  <c:v>128.00397219463613</c:v>
                </c:pt>
                <c:pt idx="30">
                  <c:v>122.93942403177833</c:v>
                </c:pt>
                <c:pt idx="31">
                  <c:v>119.36444885799315</c:v>
                </c:pt>
                <c:pt idx="32">
                  <c:v>119.26514399205561</c:v>
                </c:pt>
                <c:pt idx="33">
                  <c:v>118.76861966236427</c:v>
                </c:pt>
                <c:pt idx="34">
                  <c:v>118.37140019860882</c:v>
                </c:pt>
                <c:pt idx="35">
                  <c:v>118.76861966236427</c:v>
                </c:pt>
              </c:numCache>
            </c:numRef>
          </c:val>
        </c:ser>
        <c:ser>
          <c:idx val="1"/>
          <c:order val="1"/>
          <c:tx>
            <c:strRef>
              <c:f>Blað4!$C$219</c:f>
              <c:strCache>
                <c:ptCount val="1"/>
              </c:strCache>
            </c:strRef>
          </c:tx>
          <c:invertIfNegative val="0"/>
          <c:cat>
            <c:numRef>
              <c:f>Blað4!$A$220:$A$255</c:f>
              <c:numCache>
                <c:formatCode>General</c:formatCode>
                <c:ptCount val="36"/>
                <c:pt idx="0">
                  <c:v>2002</c:v>
                </c:pt>
                <c:pt idx="4">
                  <c:v>2003</c:v>
                </c:pt>
                <c:pt idx="8">
                  <c:v>2004</c:v>
                </c:pt>
                <c:pt idx="12">
                  <c:v>2005</c:v>
                </c:pt>
                <c:pt idx="16">
                  <c:v>2006</c:v>
                </c:pt>
                <c:pt idx="20">
                  <c:v>2007</c:v>
                </c:pt>
                <c:pt idx="24">
                  <c:v>2008</c:v>
                </c:pt>
                <c:pt idx="27">
                  <c:v>2009</c:v>
                </c:pt>
                <c:pt idx="31">
                  <c:v>2010</c:v>
                </c:pt>
                <c:pt idx="35">
                  <c:v>2011</c:v>
                </c:pt>
              </c:numCache>
            </c:numRef>
          </c:cat>
          <c:val>
            <c:numRef>
              <c:f>Blað4!$C$220:$C$255</c:f>
              <c:numCache>
                <c:formatCode>General</c:formatCode>
                <c:ptCount val="36"/>
              </c:numCache>
            </c:numRef>
          </c:val>
        </c:ser>
        <c:dLbls>
          <c:showLegendKey val="0"/>
          <c:showVal val="1"/>
          <c:showCatName val="0"/>
          <c:showSerName val="0"/>
          <c:showPercent val="0"/>
          <c:showBubbleSize val="0"/>
        </c:dLbls>
        <c:gapWidth val="150"/>
        <c:shape val="box"/>
        <c:axId val="116003584"/>
        <c:axId val="116005120"/>
        <c:axId val="0"/>
      </c:bar3DChart>
      <c:catAx>
        <c:axId val="116003584"/>
        <c:scaling>
          <c:orientation val="minMax"/>
        </c:scaling>
        <c:delete val="0"/>
        <c:axPos val="b"/>
        <c:numFmt formatCode="General" sourceLinked="1"/>
        <c:majorTickMark val="out"/>
        <c:minorTickMark val="none"/>
        <c:tickLblPos val="nextTo"/>
        <c:txPr>
          <a:bodyPr/>
          <a:lstStyle/>
          <a:p>
            <a:pPr>
              <a:defRPr b="1" i="0" baseline="0"/>
            </a:pPr>
            <a:endParaRPr lang="sv-SE"/>
          </a:p>
        </c:txPr>
        <c:crossAx val="116005120"/>
        <c:crosses val="autoZero"/>
        <c:auto val="1"/>
        <c:lblAlgn val="ctr"/>
        <c:lblOffset val="100"/>
        <c:noMultiLvlLbl val="0"/>
      </c:catAx>
      <c:valAx>
        <c:axId val="116005120"/>
        <c:scaling>
          <c:orientation val="minMax"/>
        </c:scaling>
        <c:delete val="0"/>
        <c:axPos val="l"/>
        <c:majorGridlines/>
        <c:numFmt formatCode="0" sourceLinked="1"/>
        <c:majorTickMark val="out"/>
        <c:minorTickMark val="none"/>
        <c:tickLblPos val="nextTo"/>
        <c:txPr>
          <a:bodyPr/>
          <a:lstStyle/>
          <a:p>
            <a:pPr>
              <a:defRPr b="1" i="0" baseline="0"/>
            </a:pPr>
            <a:endParaRPr lang="sv-SE"/>
          </a:p>
        </c:txPr>
        <c:crossAx val="116003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0505FC36FB254595462B7AA8BE8802" ma:contentTypeVersion="0" ma:contentTypeDescription="Skapa ett nytt dokument." ma:contentTypeScope="" ma:versionID="fa2a09b5f85cfbec2f84701bfdfa24f1">
  <xsd:schema xmlns:xsd="http://www.w3.org/2001/XMLSchema" xmlns:xs="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E72FE-4651-4016-BFFF-36464EA1EA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D0ABA-F47A-4C02-B93D-6E83E3A1A5CD}">
  <ds:schemaRefs>
    <ds:schemaRef ds:uri="http://schemas.microsoft.com/sharepoint/v3/contenttype/forms"/>
  </ds:schemaRefs>
</ds:datastoreItem>
</file>

<file path=customXml/itemProps3.xml><?xml version="1.0" encoding="utf-8"?>
<ds:datastoreItem xmlns:ds="http://schemas.openxmlformats.org/officeDocument/2006/customXml" ds:itemID="{0EC6525E-9D9F-4D0C-ACF4-3E1E41C03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6191</Characters>
  <Application>Microsoft Office Word</Application>
  <DocSecurity>0</DocSecurity>
  <Lines>51</Lines>
  <Paragraphs>14</Paragraphs>
  <ScaleCrop>false</ScaleCrop>
  <HeadingPairs>
    <vt:vector size="6" baseType="variant">
      <vt:variant>
        <vt:lpstr>Rubrik</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Grizli777</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 Rúnar</dc:creator>
  <cp:lastModifiedBy>Charlotta Lundström</cp:lastModifiedBy>
  <cp:revision>2</cp:revision>
  <cp:lastPrinted>2011-06-17T07:14:00Z</cp:lastPrinted>
  <dcterms:created xsi:type="dcterms:W3CDTF">2011-06-17T07:14:00Z</dcterms:created>
  <dcterms:modified xsi:type="dcterms:W3CDTF">2011-06-17T07:14:00Z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0x010100500505FC36FB254595462B7AA8BE8802</vt:lpwstr>
  </property>
</Properties>
</file>