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B71" w:rsidRDefault="00AB4B71" w:rsidP="00AB4B71">
      <w:pPr>
        <w:pStyle w:val="Overskrift1"/>
        <w:ind w:left="0"/>
      </w:pPr>
    </w:p>
    <w:p w:rsidR="00AB4B71" w:rsidRPr="004B2856" w:rsidRDefault="00AB4B71" w:rsidP="00AB4B71">
      <w:pPr>
        <w:spacing w:line="360" w:lineRule="auto"/>
        <w:ind w:left="1843"/>
        <w:jc w:val="center"/>
        <w:rPr>
          <w:rFonts w:ascii="TradeGothic" w:hAnsi="TradeGothic" w:cs="Arial"/>
          <w:b/>
          <w:bCs/>
          <w:kern w:val="32"/>
          <w:sz w:val="52"/>
          <w:szCs w:val="52"/>
        </w:rPr>
      </w:pPr>
      <w:r w:rsidRPr="004B2856">
        <w:rPr>
          <w:rFonts w:ascii="TradeGothic" w:hAnsi="TradeGothic" w:cs="Arial"/>
          <w:b/>
          <w:bCs/>
          <w:kern w:val="32"/>
          <w:sz w:val="52"/>
          <w:szCs w:val="52"/>
        </w:rPr>
        <w:t xml:space="preserve">Landrapport från </w:t>
      </w:r>
      <w:r>
        <w:rPr>
          <w:rFonts w:ascii="TradeGothic" w:hAnsi="TradeGothic" w:cs="Arial"/>
          <w:b/>
          <w:bCs/>
          <w:kern w:val="32"/>
          <w:sz w:val="52"/>
          <w:szCs w:val="52"/>
        </w:rPr>
        <w:t>Danmark</w:t>
      </w:r>
    </w:p>
    <w:p w:rsidR="00AB4B71" w:rsidRDefault="00AB4B71" w:rsidP="00AB4B71">
      <w:pPr>
        <w:spacing w:line="360" w:lineRule="auto"/>
        <w:ind w:left="1843"/>
        <w:jc w:val="center"/>
        <w:rPr>
          <w:rFonts w:ascii="TradeGothic" w:hAnsi="TradeGothic" w:cs="Arial"/>
          <w:b/>
          <w:bCs/>
          <w:kern w:val="32"/>
          <w:sz w:val="52"/>
          <w:szCs w:val="52"/>
        </w:rPr>
      </w:pPr>
      <w:r w:rsidRPr="00C8467C">
        <w:rPr>
          <w:rFonts w:ascii="TradeGothic" w:hAnsi="TradeGothic"/>
          <w:b/>
          <w:noProof/>
          <w:sz w:val="52"/>
          <w:szCs w:val="52"/>
          <w:lang w:val="da-DK" w:eastAsia="da-DK"/>
        </w:rPr>
        <w:pict>
          <v:shapetype id="_x0000_t202" coordsize="21600,21600" o:spt="202" path="m,l,21600r21600,l21600,xe">
            <v:stroke joinstyle="miter"/>
            <v:path gradientshapeok="t" o:connecttype="rect"/>
          </v:shapetype>
          <v:shape id="Textruta 2" o:spid="_x0000_s1026" type="#_x0000_t202" style="position:absolute;left:0;text-align:left;margin-left:302.25pt;margin-top:123.95pt;width:217.5pt;height:189.5pt;z-index:-251656192;visibility:visible;mso-width-relative:margin;mso-height-relative:margin" wrapcoords="-74 0 -74 21515 21600 21515 21600 0 -7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" fillcolor="#eeece1 [3214]" stroked="f" strokeweight=".5pt">
            <v:textbox>
              <w:txbxContent>
                <w:p w:rsidR="00AB4B71" w:rsidRPr="004B2CF3" w:rsidRDefault="00AB4B71" w:rsidP="00AB4B71">
                  <w:pPr>
                    <w:pStyle w:val="Overskrift2"/>
                    <w:ind w:left="284" w:right="234"/>
                    <w:rPr>
                      <w:b/>
                      <w:sz w:val="16"/>
                      <w:szCs w:val="16"/>
                    </w:rPr>
                  </w:pPr>
                  <w:r w:rsidRPr="0080410E">
                    <w:rPr>
                      <w:b/>
                    </w:rPr>
                    <w:t>Nyckeltal</w:t>
                  </w:r>
                  <w:r>
                    <w:rPr>
                      <w:b/>
                    </w:rPr>
                    <w:t xml:space="preserve"> för april</w:t>
                  </w:r>
                  <w:r w:rsidRPr="009C33C8">
                    <w:rPr>
                      <w:b/>
                      <w:vertAlign w:val="superscript"/>
                    </w:rPr>
                    <w:t>1</w:t>
                  </w:r>
                  <w:r>
                    <w:rPr>
                      <w:b/>
                    </w:rPr>
                    <w:t xml:space="preserve"> 2011</w:t>
                  </w:r>
                  <w:r>
                    <w:rPr>
                      <w:b/>
                    </w:rPr>
                    <w:br/>
                  </w:r>
                </w:p>
                <w:p w:rsidR="00AB4B71" w:rsidRDefault="00AB4B71" w:rsidP="00AB4B71">
                  <w:pPr>
                    <w:tabs>
                      <w:tab w:val="right" w:pos="3828"/>
                    </w:tabs>
                    <w:ind w:left="284" w:right="-203"/>
                  </w:pPr>
                  <w:r>
                    <w:t xml:space="preserve">Förväntad BNP-utveckling </w:t>
                  </w:r>
                </w:p>
                <w:p w:rsidR="00AB4B71" w:rsidRDefault="00AB4B71" w:rsidP="00AB4B71">
                  <w:pPr>
                    <w:tabs>
                      <w:tab w:val="right" w:pos="3828"/>
                    </w:tabs>
                    <w:ind w:left="284" w:right="-203"/>
                  </w:pPr>
                  <w:r>
                    <w:t xml:space="preserve">(1. Kvartal) </w:t>
                  </w:r>
                  <w:r>
                    <w:tab/>
                    <w:t>-0,5 %</w:t>
                  </w:r>
                </w:p>
                <w:p w:rsidR="00AB4B71" w:rsidRDefault="00AB4B71" w:rsidP="00AB4B71">
                  <w:pPr>
                    <w:tabs>
                      <w:tab w:val="right" w:pos="3828"/>
                    </w:tabs>
                    <w:ind w:left="284" w:right="-203"/>
                  </w:pPr>
                  <w:r>
                    <w:t>Inflationstakt</w:t>
                  </w:r>
                  <w:r>
                    <w:tab/>
                    <w:t>2,9 %</w:t>
                  </w:r>
                </w:p>
                <w:p w:rsidR="00AB4B71" w:rsidRDefault="00AB4B71" w:rsidP="00AB4B71">
                  <w:pPr>
                    <w:tabs>
                      <w:tab w:val="right" w:pos="3828"/>
                    </w:tabs>
                    <w:ind w:left="284" w:right="-203"/>
                  </w:pPr>
                  <w:r>
                    <w:t>Arbetslöshet</w:t>
                  </w:r>
                  <w:r>
                    <w:tab/>
                    <w:t>5,8 %</w:t>
                  </w:r>
                </w:p>
                <w:p w:rsidR="00AB4B71" w:rsidRDefault="00AB4B71" w:rsidP="00AB4B71">
                  <w:pPr>
                    <w:pStyle w:val="Overskrift3"/>
                    <w:tabs>
                      <w:tab w:val="right" w:pos="3828"/>
                    </w:tabs>
                    <w:ind w:left="284" w:right="-203"/>
                  </w:pPr>
                  <w:r>
                    <w:t>Bostadsbyggande – prognos för påbörjande</w:t>
                  </w:r>
                </w:p>
                <w:p w:rsidR="00AB4B71" w:rsidRDefault="00AB4B71" w:rsidP="00AB4B71">
                  <w:pPr>
                    <w:tabs>
                      <w:tab w:val="right" w:pos="3828"/>
                    </w:tabs>
                    <w:ind w:left="284" w:right="-203"/>
                  </w:pPr>
                  <w:r>
                    <w:t>Antal bostäder detta år</w:t>
                  </w:r>
                  <w:r>
                    <w:tab/>
                    <w:t>11.500</w:t>
                  </w:r>
                  <w:r>
                    <w:tab/>
                  </w:r>
                </w:p>
                <w:p w:rsidR="00AB4B71" w:rsidRDefault="00AB4B71" w:rsidP="00AB4B71">
                  <w:pPr>
                    <w:tabs>
                      <w:tab w:val="right" w:pos="3828"/>
                    </w:tabs>
                    <w:ind w:left="284" w:right="-203"/>
                  </w:pPr>
                  <w:r>
                    <w:t>Antal bostäder nästa år</w:t>
                  </w:r>
                  <w:r>
                    <w:tab/>
                    <w:t>11.000</w:t>
                  </w:r>
                </w:p>
                <w:p w:rsidR="00AB4B71" w:rsidRPr="00886F14" w:rsidRDefault="00AB4B71" w:rsidP="00AB4B71">
                  <w:pPr>
                    <w:tabs>
                      <w:tab w:val="right" w:pos="3828"/>
                    </w:tabs>
                    <w:ind w:left="284" w:right="-203"/>
                  </w:pPr>
                </w:p>
                <w:p w:rsidR="00AB4B71" w:rsidRPr="009C33C8" w:rsidRDefault="00AB4B71" w:rsidP="00AB4B71">
                  <w:pPr>
                    <w:spacing w:line="276" w:lineRule="auto"/>
                    <w:ind w:left="284" w:right="241"/>
                    <w:rPr>
                      <w:lang w:val="da-DK"/>
                    </w:rPr>
                  </w:pPr>
                  <w:r w:rsidRPr="009C33C8">
                    <w:rPr>
                      <w:vertAlign w:val="superscript"/>
                      <w:lang w:val="da-DK"/>
                    </w:rPr>
                    <w:t>1</w:t>
                  </w:r>
                  <w:r w:rsidRPr="009C33C8">
                    <w:rPr>
                      <w:lang w:val="da-DK"/>
                    </w:rPr>
                    <w:t>Ikke muligt at finde tal for maj</w:t>
                  </w:r>
                </w:p>
              </w:txbxContent>
            </v:textbox>
            <w10:wrap type="tight"/>
          </v:shape>
        </w:pict>
      </w:r>
      <w:r>
        <w:rPr>
          <w:rFonts w:ascii="TradeGothic" w:hAnsi="TradeGothic" w:cs="Arial"/>
          <w:b/>
          <w:bCs/>
          <w:kern w:val="32"/>
          <w:sz w:val="52"/>
          <w:szCs w:val="52"/>
        </w:rPr>
        <w:t>NBO:s styrelsemöte</w:t>
      </w:r>
      <w:r w:rsidRPr="004B2856">
        <w:rPr>
          <w:rFonts w:ascii="TradeGothic" w:hAnsi="TradeGothic" w:cs="Arial"/>
          <w:b/>
          <w:bCs/>
          <w:kern w:val="32"/>
          <w:sz w:val="52"/>
          <w:szCs w:val="52"/>
        </w:rPr>
        <w:t xml:space="preserve"> </w:t>
      </w:r>
      <w:r>
        <w:rPr>
          <w:rFonts w:ascii="TradeGothic" w:hAnsi="TradeGothic" w:cs="Arial"/>
          <w:b/>
          <w:bCs/>
          <w:kern w:val="32"/>
          <w:sz w:val="52"/>
          <w:szCs w:val="52"/>
        </w:rPr>
        <w:br/>
        <w:t>20 juni 2011 i Reykjavik</w:t>
      </w:r>
    </w:p>
    <w:p w:rsidR="00AB4B71" w:rsidRDefault="00AB4B71" w:rsidP="00AB4B71">
      <w:pPr>
        <w:spacing w:line="360" w:lineRule="auto"/>
        <w:ind w:left="1843"/>
        <w:rPr>
          <w:rFonts w:ascii="TradeGothic" w:hAnsi="TradeGothic" w:cs="Arial"/>
          <w:b/>
          <w:bCs/>
          <w:kern w:val="32"/>
          <w:sz w:val="52"/>
          <w:szCs w:val="52"/>
        </w:rPr>
      </w:pPr>
    </w:p>
    <w:p w:rsidR="00AB4B71" w:rsidRPr="004B2856" w:rsidRDefault="00AB4B71" w:rsidP="00AB4B71">
      <w:pPr>
        <w:spacing w:line="360" w:lineRule="auto"/>
        <w:ind w:left="1843"/>
        <w:rPr>
          <w:rFonts w:ascii="TradeGothic" w:hAnsi="TradeGothic"/>
          <w:b/>
          <w:sz w:val="52"/>
          <w:szCs w:val="52"/>
        </w:rPr>
      </w:pPr>
    </w:p>
    <w:p w:rsidR="00AB4B71" w:rsidRDefault="00AB4B71" w:rsidP="00AB4B71"/>
    <w:p w:rsidR="00AB4B71" w:rsidRDefault="00AB4B71" w:rsidP="00AB4B71"/>
    <w:p w:rsidR="00AB4B71" w:rsidRDefault="00AB4B71" w:rsidP="00AB4B71"/>
    <w:p w:rsidR="00AB4B71" w:rsidRDefault="00AB4B71" w:rsidP="00AB4B71"/>
    <w:p w:rsidR="00AB4B71" w:rsidRDefault="00AB4B71" w:rsidP="00AB4B71"/>
    <w:p w:rsidR="00AB4B71" w:rsidRDefault="00AB4B71" w:rsidP="00AB4B71">
      <w:r>
        <w:br w:type="page"/>
      </w:r>
    </w:p>
    <w:p w:rsidR="00AB4B71" w:rsidRDefault="00AB4B71" w:rsidP="00AB4B71"/>
    <w:p w:rsidR="00AB4B71" w:rsidRPr="002113C0" w:rsidRDefault="00AB4B71" w:rsidP="00AB4B71">
      <w:pPr>
        <w:pStyle w:val="Overskrift1"/>
        <w:rPr>
          <w:lang w:val="da-DK"/>
        </w:rPr>
      </w:pPr>
      <w:r w:rsidRPr="002113C0">
        <w:rPr>
          <w:lang w:val="da-DK"/>
        </w:rPr>
        <w:t>Økonomisk udvikling</w:t>
      </w:r>
    </w:p>
    <w:p w:rsidR="00AB4B71" w:rsidRPr="002113C0" w:rsidRDefault="00AB4B71" w:rsidP="00AB4B71">
      <w:pPr>
        <w:pStyle w:val="Overskrift2"/>
        <w:rPr>
          <w:lang w:val="da-DK" w:eastAsia="en-US"/>
        </w:rPr>
      </w:pPr>
      <w:r w:rsidRPr="002113C0">
        <w:rPr>
          <w:lang w:val="da-DK" w:eastAsia="en-US"/>
        </w:rPr>
        <w:t xml:space="preserve">Bruttonationalproduktet </w:t>
      </w:r>
    </w:p>
    <w:p w:rsidR="00AB4B71" w:rsidRPr="002113C0" w:rsidRDefault="00AB4B71" w:rsidP="00AB4B71">
      <w:pPr>
        <w:jc w:val="both"/>
        <w:rPr>
          <w:lang w:val="da-DK"/>
        </w:rPr>
      </w:pPr>
      <w:r w:rsidRPr="002113C0">
        <w:rPr>
          <w:lang w:val="da-DK"/>
        </w:rPr>
        <w:t xml:space="preserve">Nationalregnskabet for 1. kvartal 2011 viser et fald på 0,5 pct. i BNP sammenlignet med 4. kvartal 2010, når der korrigeres for prisudvikling og sæsonbevægelser. Det er andet kvartal i træk, at BNP falder. Forinden havde der ellers været en periode over 5 kvartaler, hvor væksten i BNP var positiv. Det private og offentlige forbrug samt faste bruttoinvesteringer bidrager til faldet i BNP, mens import og eksport har haft en positiv vækst i første kvartal (jf. tabel 1). </w:t>
      </w:r>
    </w:p>
    <w:p w:rsidR="00AB4B71" w:rsidRPr="002113C0" w:rsidRDefault="00AB4B71" w:rsidP="00AB4B71">
      <w:pPr>
        <w:jc w:val="both"/>
        <w:rPr>
          <w:lang w:val="da-DK"/>
        </w:rPr>
      </w:pPr>
    </w:p>
    <w:p w:rsidR="00AB4B71" w:rsidRPr="002113C0" w:rsidRDefault="00AB4B71" w:rsidP="00AB4B71">
      <w:pPr>
        <w:pStyle w:val="Billedtekst"/>
        <w:keepNext/>
        <w:rPr>
          <w:color w:val="auto"/>
          <w:sz w:val="20"/>
          <w:szCs w:val="20"/>
          <w:lang w:val="da-DK"/>
        </w:rPr>
      </w:pPr>
      <w:r w:rsidRPr="002113C0">
        <w:rPr>
          <w:color w:val="auto"/>
          <w:sz w:val="20"/>
          <w:szCs w:val="20"/>
          <w:lang w:val="da-DK"/>
        </w:rPr>
        <w:t xml:space="preserve">Tabel </w:t>
      </w:r>
      <w:r w:rsidRPr="002113C0">
        <w:rPr>
          <w:color w:val="auto"/>
          <w:sz w:val="20"/>
          <w:szCs w:val="20"/>
          <w:lang w:val="da-DK"/>
        </w:rPr>
        <w:fldChar w:fldCharType="begin"/>
      </w:r>
      <w:r w:rsidRPr="002113C0">
        <w:rPr>
          <w:color w:val="auto"/>
          <w:sz w:val="20"/>
          <w:szCs w:val="20"/>
          <w:lang w:val="da-DK"/>
        </w:rPr>
        <w:instrText xml:space="preserve"> SEQ Tabell \* ARABIC </w:instrText>
      </w:r>
      <w:r w:rsidRPr="002113C0">
        <w:rPr>
          <w:color w:val="auto"/>
          <w:sz w:val="20"/>
          <w:szCs w:val="20"/>
          <w:lang w:val="da-DK"/>
        </w:rPr>
        <w:fldChar w:fldCharType="separate"/>
      </w:r>
      <w:r>
        <w:rPr>
          <w:noProof/>
          <w:color w:val="auto"/>
          <w:sz w:val="20"/>
          <w:szCs w:val="20"/>
          <w:lang w:val="da-DK"/>
        </w:rPr>
        <w:t>1</w:t>
      </w:r>
      <w:r w:rsidRPr="002113C0">
        <w:rPr>
          <w:color w:val="auto"/>
          <w:sz w:val="20"/>
          <w:szCs w:val="20"/>
          <w:lang w:val="da-DK"/>
        </w:rPr>
        <w:fldChar w:fldCharType="end"/>
      </w:r>
      <w:r w:rsidRPr="002113C0">
        <w:rPr>
          <w:color w:val="auto"/>
          <w:sz w:val="20"/>
          <w:szCs w:val="20"/>
          <w:lang w:val="da-DK"/>
        </w:rPr>
        <w:t>. Kvartalsvis nationalregnskab</w:t>
      </w:r>
    </w:p>
    <w:p w:rsidR="00AB4B71" w:rsidRPr="002113C0" w:rsidRDefault="00AB4B71" w:rsidP="00AB4B71">
      <w:pPr>
        <w:keepNext/>
        <w:jc w:val="both"/>
        <w:rPr>
          <w:lang w:val="da-DK"/>
        </w:rPr>
      </w:pPr>
      <w:r w:rsidRPr="002113C0">
        <w:rPr>
          <w:noProof/>
          <w:lang w:val="da-DK" w:eastAsia="da-DK"/>
        </w:rPr>
        <w:drawing>
          <wp:inline distT="0" distB="0" distL="0" distR="0">
            <wp:extent cx="5174765" cy="1725283"/>
            <wp:effectExtent l="0" t="0" r="6985" b="889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78729" cy="1726605"/>
                    </a:xfrm>
                    <a:prstGeom prst="rect">
                      <a:avLst/>
                    </a:prstGeom>
                    <a:noFill/>
                    <a:ln>
                      <a:noFill/>
                    </a:ln>
                  </pic:spPr>
                </pic:pic>
              </a:graphicData>
            </a:graphic>
          </wp:inline>
        </w:drawing>
      </w:r>
    </w:p>
    <w:p w:rsidR="00AB4B71" w:rsidRPr="002113C0" w:rsidRDefault="00AB4B71" w:rsidP="00AB4B71">
      <w:pPr>
        <w:pStyle w:val="Billedtekst"/>
        <w:jc w:val="both"/>
        <w:rPr>
          <w:b w:val="0"/>
          <w:color w:val="auto"/>
          <w:sz w:val="20"/>
          <w:szCs w:val="20"/>
          <w:lang w:val="da-DK"/>
        </w:rPr>
      </w:pPr>
      <w:r w:rsidRPr="002113C0">
        <w:rPr>
          <w:b w:val="0"/>
          <w:color w:val="auto"/>
          <w:sz w:val="20"/>
          <w:szCs w:val="20"/>
          <w:lang w:val="da-DK"/>
        </w:rPr>
        <w:t>Kilde: Danmarks Statistik, Statistikbanken</w:t>
      </w:r>
    </w:p>
    <w:p w:rsidR="00AB4B71" w:rsidRPr="002113C0" w:rsidRDefault="00AB4B71" w:rsidP="00AB4B71">
      <w:pPr>
        <w:pStyle w:val="Overskrift2"/>
        <w:jc w:val="both"/>
        <w:rPr>
          <w:rFonts w:ascii="Garamond" w:hAnsi="Garamond"/>
          <w:lang w:val="da-DK" w:eastAsia="en-US"/>
        </w:rPr>
      </w:pPr>
      <w:r w:rsidRPr="002113C0">
        <w:rPr>
          <w:rFonts w:ascii="Garamond" w:hAnsi="Garamond"/>
          <w:lang w:val="da-DK" w:eastAsia="en-US"/>
        </w:rPr>
        <w:t>Det Økonomiske Råd forventer, at den samlede BNP – vækst i 2011 bliver på ca. 1½ pct., og væksten i 2012 og 2013 ventes at blive omkring 2 pct. (Dansk Økonomi, Forår 2011, DØR).</w:t>
      </w:r>
    </w:p>
    <w:p w:rsidR="00AB4B71" w:rsidRPr="002113C0" w:rsidRDefault="00AB4B71" w:rsidP="00AB4B71">
      <w:pPr>
        <w:pStyle w:val="Overskrift2"/>
        <w:rPr>
          <w:lang w:val="da-DK" w:eastAsia="en-US"/>
        </w:rPr>
      </w:pPr>
      <w:r w:rsidRPr="002113C0">
        <w:rPr>
          <w:lang w:val="da-DK" w:eastAsia="en-US"/>
        </w:rPr>
        <w:t>Arbejdsmarkedet</w:t>
      </w:r>
    </w:p>
    <w:p w:rsidR="00AB4B71" w:rsidRPr="002113C0" w:rsidRDefault="00AB4B71" w:rsidP="00AB4B71">
      <w:pPr>
        <w:jc w:val="both"/>
        <w:rPr>
          <w:lang w:val="da-DK" w:eastAsia="en-US"/>
        </w:rPr>
      </w:pPr>
      <w:r w:rsidRPr="002113C0">
        <w:rPr>
          <w:lang w:val="da-DK" w:eastAsia="en-US"/>
        </w:rPr>
        <w:t xml:space="preserve">Trods den negative vækst i BNP de seneste to kvartaler, ses der en faldende tendens i bruttoledigheden. De nyeste arbejdsløshedstal viser, at bruttoledigheden nu er på ca. 157.540 fuldtidspersoner, hvilket svarer til en ledighedsprocent på 5,8 pct. (jf. figur 1). </w:t>
      </w:r>
    </w:p>
    <w:p w:rsidR="00AB4B71" w:rsidRPr="002113C0" w:rsidRDefault="00AB4B71" w:rsidP="00AB4B71">
      <w:pPr>
        <w:rPr>
          <w:sz w:val="20"/>
          <w:szCs w:val="20"/>
          <w:lang w:val="da-DK" w:eastAsia="en-US"/>
        </w:rPr>
      </w:pPr>
    </w:p>
    <w:p w:rsidR="00AB4B71" w:rsidRPr="002113C0" w:rsidRDefault="00AB4B71" w:rsidP="00AB4B71">
      <w:pPr>
        <w:pStyle w:val="Billedtekst"/>
        <w:keepNext/>
        <w:jc w:val="center"/>
        <w:rPr>
          <w:color w:val="auto"/>
          <w:sz w:val="20"/>
          <w:szCs w:val="20"/>
          <w:lang w:val="da-DK"/>
        </w:rPr>
      </w:pPr>
      <w:r w:rsidRPr="002113C0">
        <w:rPr>
          <w:color w:val="auto"/>
          <w:sz w:val="20"/>
          <w:szCs w:val="20"/>
          <w:lang w:val="da-DK"/>
        </w:rPr>
        <w:t xml:space="preserve">Figur </w:t>
      </w:r>
      <w:r w:rsidRPr="002113C0">
        <w:rPr>
          <w:color w:val="auto"/>
          <w:sz w:val="20"/>
          <w:szCs w:val="20"/>
          <w:lang w:val="da-DK"/>
        </w:rPr>
        <w:fldChar w:fldCharType="begin"/>
      </w:r>
      <w:r w:rsidRPr="002113C0">
        <w:rPr>
          <w:color w:val="auto"/>
          <w:sz w:val="20"/>
          <w:szCs w:val="20"/>
          <w:lang w:val="da-DK"/>
        </w:rPr>
        <w:instrText xml:space="preserve"> SEQ Figur \* ARABIC </w:instrText>
      </w:r>
      <w:r w:rsidRPr="002113C0">
        <w:rPr>
          <w:color w:val="auto"/>
          <w:sz w:val="20"/>
          <w:szCs w:val="20"/>
          <w:lang w:val="da-DK"/>
        </w:rPr>
        <w:fldChar w:fldCharType="separate"/>
      </w:r>
      <w:r>
        <w:rPr>
          <w:noProof/>
          <w:color w:val="auto"/>
          <w:sz w:val="20"/>
          <w:szCs w:val="20"/>
          <w:lang w:val="da-DK"/>
        </w:rPr>
        <w:t>1</w:t>
      </w:r>
      <w:r w:rsidRPr="002113C0">
        <w:rPr>
          <w:color w:val="auto"/>
          <w:sz w:val="20"/>
          <w:szCs w:val="20"/>
          <w:lang w:val="da-DK"/>
        </w:rPr>
        <w:fldChar w:fldCharType="end"/>
      </w:r>
      <w:r w:rsidRPr="002113C0">
        <w:rPr>
          <w:color w:val="auto"/>
          <w:sz w:val="20"/>
          <w:szCs w:val="20"/>
          <w:lang w:val="da-DK"/>
        </w:rPr>
        <w:t>. Udviklingen i sæsonkorrigeret bruttoledighed</w:t>
      </w:r>
    </w:p>
    <w:p w:rsidR="00AB4B71" w:rsidRPr="002113C0" w:rsidRDefault="00AB4B71" w:rsidP="00AB4B71">
      <w:pPr>
        <w:pStyle w:val="Overskrift2"/>
        <w:jc w:val="center"/>
        <w:rPr>
          <w:lang w:val="da-DK"/>
        </w:rPr>
      </w:pPr>
      <w:r w:rsidRPr="002113C0">
        <w:rPr>
          <w:noProof/>
          <w:lang w:val="da-DK" w:eastAsia="da-DK"/>
        </w:rPr>
        <w:drawing>
          <wp:inline distT="0" distB="0" distL="0" distR="0">
            <wp:extent cx="3571336" cy="2078966"/>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78342" cy="2083044"/>
                    </a:xfrm>
                    <a:prstGeom prst="rect">
                      <a:avLst/>
                    </a:prstGeom>
                    <a:noFill/>
                  </pic:spPr>
                </pic:pic>
              </a:graphicData>
            </a:graphic>
          </wp:inline>
        </w:drawing>
      </w:r>
    </w:p>
    <w:p w:rsidR="00AB4B71" w:rsidRPr="002113C0" w:rsidRDefault="00AB4B71" w:rsidP="00AB4B71">
      <w:pPr>
        <w:pStyle w:val="Billedtekst"/>
        <w:jc w:val="center"/>
        <w:rPr>
          <w:b w:val="0"/>
          <w:color w:val="auto"/>
          <w:sz w:val="20"/>
          <w:szCs w:val="20"/>
          <w:lang w:val="da-DK" w:eastAsia="en-US"/>
        </w:rPr>
      </w:pPr>
      <w:r w:rsidRPr="002113C0">
        <w:rPr>
          <w:b w:val="0"/>
          <w:color w:val="auto"/>
          <w:sz w:val="20"/>
          <w:szCs w:val="20"/>
          <w:lang w:val="da-DK"/>
        </w:rPr>
        <w:t>Kilde: Danmarks Statistik, Statistikbanken</w:t>
      </w:r>
    </w:p>
    <w:p w:rsidR="00AB4B71" w:rsidRPr="002113C0" w:rsidRDefault="00AB4B71" w:rsidP="00AB4B71">
      <w:pPr>
        <w:jc w:val="both"/>
        <w:rPr>
          <w:lang w:val="da-DK" w:eastAsia="en-US"/>
        </w:rPr>
      </w:pPr>
      <w:r w:rsidRPr="002113C0">
        <w:rPr>
          <w:lang w:val="da-DK" w:eastAsia="en-US"/>
        </w:rPr>
        <w:lastRenderedPageBreak/>
        <w:t>Der er dog grund til bekymring, idet beskæftigelsen faldt med ca. 1.000 personer i første kvartal af 2011. Det tyder derfor på, at faldet i arbejdsløsheden ikke skyldes en voksende beskæftigelse</w:t>
      </w:r>
      <w:r>
        <w:rPr>
          <w:lang w:val="da-DK" w:eastAsia="en-US"/>
        </w:rPr>
        <w:t>,</w:t>
      </w:r>
      <w:r w:rsidRPr="002113C0">
        <w:rPr>
          <w:lang w:val="da-DK" w:eastAsia="en-US"/>
        </w:rPr>
        <w:t xml:space="preserve"> men derimod skal forklares ved, at flere fortsat trækker sig ud af arbejdsstyrken. Dermed fortsætter det kraftige fald i arbejdsstyrken som vi har været vidne til under den økonomiske krise. Samlet er beskæftigelsen siden 4. kvartal 2008 faldet med 167.000 personer, mens arbejdsløsheden kun er steget med 53.000 personer, hvilket betyder at 114.000 personer har forladt arbejdsstyrken i denne periode. (Nationalregnskab 1. kvartal 2011, Arbejderbevægelsens Erhvervsråd).</w:t>
      </w:r>
    </w:p>
    <w:p w:rsidR="00AB4B71" w:rsidRPr="002113C0" w:rsidRDefault="00AB4B71" w:rsidP="00AB4B71">
      <w:pPr>
        <w:pStyle w:val="Overskrift2"/>
        <w:rPr>
          <w:lang w:val="da-DK" w:eastAsia="en-US"/>
        </w:rPr>
      </w:pPr>
      <w:r w:rsidRPr="002113C0">
        <w:rPr>
          <w:lang w:val="da-DK" w:eastAsia="en-US"/>
        </w:rPr>
        <w:t>Inflation</w:t>
      </w:r>
    </w:p>
    <w:p w:rsidR="00AB4B71" w:rsidRPr="002113C0" w:rsidRDefault="00AB4B71" w:rsidP="00AB4B71">
      <w:pPr>
        <w:jc w:val="both"/>
        <w:rPr>
          <w:lang w:val="da-DK" w:eastAsia="en-US"/>
        </w:rPr>
      </w:pPr>
      <w:r w:rsidRPr="002113C0">
        <w:rPr>
          <w:lang w:val="da-DK" w:eastAsia="en-US"/>
        </w:rPr>
        <w:t xml:space="preserve">Forbrugerprisinflationen øges fortsat, jf. figur 2, og nåede i april 2011 op på 2,9 pct., hvilket især skyldes store prisstigninger på energi og råstoffer. Forbrugerprisinflationen på energi har bidraget med en tredjedel af den samlede forbrugerprisinflation siden oktober 2010, selv om energivarer kun udgør 10 pct. af forbrugerprisindekset. Fødevarer, der vægter nogenlunde det samme som energi i forbrugerprisindekset, har bidraget med ¼ </w:t>
      </w:r>
      <w:proofErr w:type="spellStart"/>
      <w:r w:rsidRPr="002113C0">
        <w:rPr>
          <w:lang w:val="da-DK" w:eastAsia="en-US"/>
        </w:rPr>
        <w:t>pct.-point</w:t>
      </w:r>
      <w:proofErr w:type="spellEnd"/>
      <w:r w:rsidRPr="002113C0">
        <w:rPr>
          <w:lang w:val="da-DK" w:eastAsia="en-US"/>
        </w:rPr>
        <w:t xml:space="preserve"> i samme periode. </w:t>
      </w:r>
    </w:p>
    <w:p w:rsidR="00AB4B71" w:rsidRPr="002113C0" w:rsidRDefault="00AB4B71" w:rsidP="00AB4B71">
      <w:pPr>
        <w:jc w:val="both"/>
        <w:rPr>
          <w:lang w:val="da-DK" w:eastAsia="en-US"/>
        </w:rPr>
      </w:pPr>
    </w:p>
    <w:p w:rsidR="00AB4B71" w:rsidRPr="002113C0" w:rsidRDefault="00AB4B71" w:rsidP="00AB4B71">
      <w:pPr>
        <w:jc w:val="both"/>
        <w:rPr>
          <w:lang w:val="da-DK" w:eastAsia="en-US"/>
        </w:rPr>
      </w:pPr>
      <w:r w:rsidRPr="002113C0">
        <w:rPr>
          <w:lang w:val="da-DK" w:eastAsia="en-US"/>
        </w:rPr>
        <w:t xml:space="preserve">Højere energi- og fødevarepriser har også drevet inflationen i vejret i euroområdet, og i april lå </w:t>
      </w:r>
      <w:proofErr w:type="spellStart"/>
      <w:r w:rsidRPr="002113C0">
        <w:rPr>
          <w:lang w:val="da-DK" w:eastAsia="en-US"/>
        </w:rPr>
        <w:t>årsstigningen</w:t>
      </w:r>
      <w:proofErr w:type="spellEnd"/>
      <w:r w:rsidRPr="002113C0">
        <w:rPr>
          <w:lang w:val="da-DK" w:eastAsia="en-US"/>
        </w:rPr>
        <w:t xml:space="preserve"> i HICP</w:t>
      </w:r>
      <w:r w:rsidRPr="002113C0">
        <w:rPr>
          <w:rStyle w:val="Fodnotehenvisning"/>
          <w:lang w:val="da-DK" w:eastAsia="en-US"/>
        </w:rPr>
        <w:footnoteReference w:id="1"/>
      </w:r>
      <w:r w:rsidRPr="002113C0">
        <w:rPr>
          <w:lang w:val="da-DK" w:eastAsia="en-US"/>
        </w:rPr>
        <w:t xml:space="preserve"> både i Danmark og i euroområdet på 2,8 pct. Inflationen i 2010</w:t>
      </w:r>
      <w:r>
        <w:rPr>
          <w:lang w:val="da-DK" w:eastAsia="en-US"/>
        </w:rPr>
        <w:t>,</w:t>
      </w:r>
      <w:r w:rsidRPr="002113C0">
        <w:rPr>
          <w:lang w:val="da-DK" w:eastAsia="en-US"/>
        </w:rPr>
        <w:t xml:space="preserve"> var i Danmark godt ½ </w:t>
      </w:r>
      <w:proofErr w:type="spellStart"/>
      <w:r w:rsidRPr="002113C0">
        <w:rPr>
          <w:lang w:val="da-DK" w:eastAsia="en-US"/>
        </w:rPr>
        <w:t>pct.-point</w:t>
      </w:r>
      <w:proofErr w:type="spellEnd"/>
      <w:r w:rsidRPr="002113C0">
        <w:rPr>
          <w:lang w:val="da-DK" w:eastAsia="en-US"/>
        </w:rPr>
        <w:t xml:space="preserve"> højere i gennemsnit sammenlignet med euroområdet, men i 2011 ses der en tendens til, at inflationen i euroområdet er højere end i Danmark. </w:t>
      </w:r>
    </w:p>
    <w:p w:rsidR="00AB4B71" w:rsidRPr="002113C0" w:rsidRDefault="00AB4B71" w:rsidP="00AB4B71">
      <w:pPr>
        <w:jc w:val="both"/>
        <w:rPr>
          <w:lang w:val="da-DK" w:eastAsia="en-US"/>
        </w:rPr>
      </w:pPr>
    </w:p>
    <w:p w:rsidR="00AB4B71" w:rsidRPr="002113C0" w:rsidRDefault="00AB4B71" w:rsidP="00AB4B71">
      <w:pPr>
        <w:jc w:val="both"/>
        <w:rPr>
          <w:lang w:val="da-DK" w:eastAsia="en-US"/>
        </w:rPr>
      </w:pPr>
      <w:r w:rsidRPr="002113C0">
        <w:rPr>
          <w:lang w:val="da-DK" w:eastAsia="en-US"/>
        </w:rPr>
        <w:t>Det forventes at forbrugerprisinflationen fortsat vil være ganske høj på 2½-3 pct. frem til midten af året, hvorefter inflationen gradvist vil blive bragt ned mod 1½ pct. som følge af lavere inflationsbidrag fra energi samt øvrige varer (Økonomisk Redegørelse – Maj 2011, Finansministeriet).</w:t>
      </w:r>
    </w:p>
    <w:p w:rsidR="00AB4B71" w:rsidRPr="002113C0" w:rsidRDefault="00AB4B71" w:rsidP="00AB4B71">
      <w:pPr>
        <w:jc w:val="both"/>
        <w:rPr>
          <w:lang w:val="da-DK" w:eastAsia="en-US"/>
        </w:rPr>
      </w:pPr>
    </w:p>
    <w:p w:rsidR="00AB4B71" w:rsidRPr="002113C0" w:rsidRDefault="00AB4B71" w:rsidP="00AB4B71">
      <w:pPr>
        <w:pStyle w:val="Billedtekst"/>
        <w:keepNext/>
        <w:jc w:val="center"/>
        <w:rPr>
          <w:color w:val="auto"/>
          <w:sz w:val="20"/>
          <w:szCs w:val="20"/>
          <w:lang w:val="da-DK"/>
        </w:rPr>
      </w:pPr>
      <w:r w:rsidRPr="002113C0">
        <w:rPr>
          <w:color w:val="auto"/>
          <w:sz w:val="20"/>
          <w:szCs w:val="20"/>
          <w:lang w:val="da-DK"/>
        </w:rPr>
        <w:t>Figur 2. Forbrugerprisinflationen</w:t>
      </w:r>
    </w:p>
    <w:p w:rsidR="00AB4B71" w:rsidRPr="002113C0" w:rsidRDefault="00AB4B71" w:rsidP="00AB4B71">
      <w:pPr>
        <w:keepNext/>
        <w:jc w:val="center"/>
        <w:rPr>
          <w:lang w:val="da-DK"/>
        </w:rPr>
      </w:pPr>
      <w:r w:rsidRPr="002113C0">
        <w:rPr>
          <w:noProof/>
          <w:lang w:val="da-DK" w:eastAsia="da-DK"/>
        </w:rPr>
        <w:drawing>
          <wp:inline distT="0" distB="0" distL="0" distR="0">
            <wp:extent cx="3623094" cy="2177871"/>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29835" cy="2181923"/>
                    </a:xfrm>
                    <a:prstGeom prst="rect">
                      <a:avLst/>
                    </a:prstGeom>
                    <a:noFill/>
                  </pic:spPr>
                </pic:pic>
              </a:graphicData>
            </a:graphic>
          </wp:inline>
        </w:drawing>
      </w:r>
    </w:p>
    <w:p w:rsidR="00AB4B71" w:rsidRPr="002113C0" w:rsidRDefault="00AB4B71" w:rsidP="00AB4B71">
      <w:pPr>
        <w:pStyle w:val="Billedtekst"/>
        <w:jc w:val="center"/>
        <w:rPr>
          <w:b w:val="0"/>
          <w:color w:val="auto"/>
          <w:sz w:val="20"/>
          <w:szCs w:val="20"/>
          <w:lang w:val="da-DK" w:eastAsia="en-US"/>
        </w:rPr>
      </w:pPr>
      <w:r w:rsidRPr="002113C0">
        <w:rPr>
          <w:b w:val="0"/>
          <w:color w:val="auto"/>
          <w:sz w:val="20"/>
          <w:szCs w:val="20"/>
          <w:lang w:val="da-DK"/>
        </w:rPr>
        <w:t>Kilde: Danmarks Statistik, Statistikbanken</w:t>
      </w:r>
    </w:p>
    <w:p w:rsidR="00AB4B71" w:rsidRPr="002113C0" w:rsidRDefault="00AB4B71" w:rsidP="00AB4B71">
      <w:pPr>
        <w:pStyle w:val="Overskrift2"/>
        <w:rPr>
          <w:lang w:val="da-DK" w:eastAsia="en-US"/>
        </w:rPr>
      </w:pPr>
    </w:p>
    <w:p w:rsidR="00AB4B71" w:rsidRPr="002113C0" w:rsidRDefault="00AB4B71" w:rsidP="00AB4B71">
      <w:pPr>
        <w:pStyle w:val="Overskrift2"/>
        <w:rPr>
          <w:lang w:val="da-DK" w:eastAsia="en-US"/>
        </w:rPr>
      </w:pPr>
    </w:p>
    <w:p w:rsidR="00AB4B71" w:rsidRPr="002113C0" w:rsidRDefault="00AB4B71" w:rsidP="00AB4B71">
      <w:pPr>
        <w:pStyle w:val="Overskrift2"/>
        <w:rPr>
          <w:lang w:val="da-DK" w:eastAsia="en-US"/>
        </w:rPr>
      </w:pPr>
      <w:r w:rsidRPr="002113C0">
        <w:rPr>
          <w:lang w:val="da-DK" w:eastAsia="en-US"/>
        </w:rPr>
        <w:t xml:space="preserve">Renterne </w:t>
      </w:r>
    </w:p>
    <w:p w:rsidR="00AB4B71" w:rsidRPr="002113C0" w:rsidRDefault="00AB4B71" w:rsidP="00AB4B71">
      <w:pPr>
        <w:jc w:val="both"/>
        <w:rPr>
          <w:lang w:val="da-DK" w:eastAsia="en-US"/>
        </w:rPr>
      </w:pPr>
      <w:r w:rsidRPr="002113C0">
        <w:rPr>
          <w:lang w:val="da-DK" w:eastAsia="en-US"/>
        </w:rPr>
        <w:t xml:space="preserve">ECB besluttede den 7. april 2011 at hæve den centrale styringsrente med 0,25 </w:t>
      </w:r>
      <w:proofErr w:type="spellStart"/>
      <w:r w:rsidRPr="002113C0">
        <w:rPr>
          <w:lang w:val="da-DK" w:eastAsia="en-US"/>
        </w:rPr>
        <w:t>pct.-point</w:t>
      </w:r>
      <w:proofErr w:type="spellEnd"/>
      <w:r w:rsidRPr="002113C0">
        <w:rPr>
          <w:lang w:val="da-DK" w:eastAsia="en-US"/>
        </w:rPr>
        <w:t xml:space="preserve"> og Nationalbanken annoncerede senere samme dag en tilsvarende stigning i Nationalbankens styringsrenter (jf. tabel 2). </w:t>
      </w:r>
      <w:proofErr w:type="spellStart"/>
      <w:r w:rsidRPr="002113C0">
        <w:rPr>
          <w:lang w:val="da-DK" w:eastAsia="en-US"/>
        </w:rPr>
        <w:t>ECB’s</w:t>
      </w:r>
      <w:proofErr w:type="spellEnd"/>
      <w:r w:rsidRPr="002113C0">
        <w:rPr>
          <w:lang w:val="da-DK" w:eastAsia="en-US"/>
        </w:rPr>
        <w:t xml:space="preserve"> forhøjelse af styringsrenten var delvist blevet varslet i marts i forbindelse med deres rentemøde. Baggrunden for denne stigning var bl.a. den nuværende prisstigningstakt i euroområdet som ligger over </w:t>
      </w:r>
      <w:proofErr w:type="spellStart"/>
      <w:r w:rsidRPr="002113C0">
        <w:rPr>
          <w:lang w:val="da-DK" w:eastAsia="en-US"/>
        </w:rPr>
        <w:t>ECB’s</w:t>
      </w:r>
      <w:proofErr w:type="spellEnd"/>
      <w:r w:rsidRPr="002113C0">
        <w:rPr>
          <w:lang w:val="da-DK" w:eastAsia="en-US"/>
        </w:rPr>
        <w:t xml:space="preserve"> målsætning (Økonomisk Redegørelse – Maj 2011, Finansministeriet). </w:t>
      </w:r>
    </w:p>
    <w:p w:rsidR="00AB4B71" w:rsidRPr="002113C0" w:rsidRDefault="00AB4B71" w:rsidP="00AB4B71">
      <w:pPr>
        <w:jc w:val="both"/>
        <w:rPr>
          <w:lang w:val="da-DK" w:eastAsia="en-US"/>
        </w:rPr>
      </w:pPr>
    </w:p>
    <w:p w:rsidR="00AB4B71" w:rsidRPr="002113C0" w:rsidRDefault="00AB4B71" w:rsidP="00AB4B71">
      <w:pPr>
        <w:pStyle w:val="Billedtekst"/>
        <w:keepNext/>
        <w:rPr>
          <w:color w:val="auto"/>
          <w:sz w:val="20"/>
          <w:szCs w:val="20"/>
          <w:lang w:val="da-DK"/>
        </w:rPr>
      </w:pPr>
      <w:r w:rsidRPr="002113C0">
        <w:rPr>
          <w:color w:val="auto"/>
          <w:sz w:val="20"/>
          <w:szCs w:val="20"/>
          <w:lang w:val="da-DK"/>
        </w:rPr>
        <w:t>Tabel 2. Nationalbankens styringsrenter</w:t>
      </w:r>
    </w:p>
    <w:tbl>
      <w:tblPr>
        <w:tblStyle w:val="Tabel-Gitter"/>
        <w:tblW w:w="0" w:type="auto"/>
        <w:tblInd w:w="1361" w:type="dxa"/>
        <w:tblLayout w:type="fixed"/>
        <w:tblLook w:val="04A0"/>
      </w:tblPr>
      <w:tblGrid>
        <w:gridCol w:w="3570"/>
        <w:gridCol w:w="2835"/>
      </w:tblGrid>
      <w:tr w:rsidR="00AB4B71" w:rsidRPr="002113C0" w:rsidTr="00BB5050">
        <w:tc>
          <w:tcPr>
            <w:tcW w:w="3570" w:type="dxa"/>
          </w:tcPr>
          <w:p w:rsidR="00AB4B71" w:rsidRPr="002113C0" w:rsidRDefault="00AB4B71" w:rsidP="00BB5050">
            <w:pPr>
              <w:ind w:left="0"/>
              <w:rPr>
                <w:lang w:val="da-DK" w:eastAsia="en-US"/>
              </w:rPr>
            </w:pPr>
            <w:r w:rsidRPr="002113C0">
              <w:rPr>
                <w:lang w:val="da-DK" w:eastAsia="en-US"/>
              </w:rPr>
              <w:t>Diskontoen</w:t>
            </w:r>
            <w:r w:rsidRPr="002113C0">
              <w:rPr>
                <w:rStyle w:val="Fodnotehenvisning"/>
                <w:lang w:val="da-DK" w:eastAsia="en-US"/>
              </w:rPr>
              <w:footnoteReference w:id="2"/>
            </w:r>
          </w:p>
        </w:tc>
        <w:tc>
          <w:tcPr>
            <w:tcW w:w="2835" w:type="dxa"/>
          </w:tcPr>
          <w:p w:rsidR="00AB4B71" w:rsidRPr="002113C0" w:rsidRDefault="00AB4B71" w:rsidP="00BB5050">
            <w:pPr>
              <w:ind w:left="0"/>
              <w:jc w:val="right"/>
              <w:rPr>
                <w:lang w:val="da-DK" w:eastAsia="en-US"/>
              </w:rPr>
            </w:pPr>
            <w:r w:rsidRPr="002113C0">
              <w:rPr>
                <w:lang w:val="da-DK" w:eastAsia="en-US"/>
              </w:rPr>
              <w:t>1 pct.</w:t>
            </w:r>
          </w:p>
        </w:tc>
      </w:tr>
      <w:tr w:rsidR="00AB4B71" w:rsidRPr="002113C0" w:rsidTr="00BB5050">
        <w:tc>
          <w:tcPr>
            <w:tcW w:w="3570" w:type="dxa"/>
          </w:tcPr>
          <w:p w:rsidR="00AB4B71" w:rsidRPr="002113C0" w:rsidRDefault="00AB4B71" w:rsidP="00BB5050">
            <w:pPr>
              <w:ind w:left="0"/>
              <w:rPr>
                <w:lang w:val="da-DK" w:eastAsia="en-US"/>
              </w:rPr>
            </w:pPr>
            <w:r w:rsidRPr="002113C0">
              <w:rPr>
                <w:lang w:val="da-DK" w:eastAsia="en-US"/>
              </w:rPr>
              <w:t>Foliorenten</w:t>
            </w:r>
            <w:r w:rsidRPr="002113C0">
              <w:rPr>
                <w:rStyle w:val="Fodnotehenvisning"/>
                <w:lang w:val="da-DK" w:eastAsia="en-US"/>
              </w:rPr>
              <w:footnoteReference w:id="3"/>
            </w:r>
          </w:p>
        </w:tc>
        <w:tc>
          <w:tcPr>
            <w:tcW w:w="2835" w:type="dxa"/>
          </w:tcPr>
          <w:p w:rsidR="00AB4B71" w:rsidRPr="002113C0" w:rsidRDefault="00AB4B71" w:rsidP="00BB5050">
            <w:pPr>
              <w:ind w:left="0"/>
              <w:jc w:val="right"/>
              <w:rPr>
                <w:lang w:val="da-DK" w:eastAsia="en-US"/>
              </w:rPr>
            </w:pPr>
            <w:r w:rsidRPr="002113C0">
              <w:rPr>
                <w:lang w:val="da-DK" w:eastAsia="en-US"/>
              </w:rPr>
              <w:t>0,85 pct.</w:t>
            </w:r>
          </w:p>
        </w:tc>
      </w:tr>
      <w:tr w:rsidR="00AB4B71" w:rsidRPr="002113C0" w:rsidTr="00BB5050">
        <w:tc>
          <w:tcPr>
            <w:tcW w:w="3570" w:type="dxa"/>
          </w:tcPr>
          <w:p w:rsidR="00AB4B71" w:rsidRPr="002113C0" w:rsidRDefault="00AB4B71" w:rsidP="00BB5050">
            <w:pPr>
              <w:ind w:left="0"/>
              <w:rPr>
                <w:lang w:val="da-DK" w:eastAsia="en-US"/>
              </w:rPr>
            </w:pPr>
            <w:r w:rsidRPr="002113C0">
              <w:rPr>
                <w:lang w:val="da-DK" w:eastAsia="en-US"/>
              </w:rPr>
              <w:t>Indskudsbevisrenten</w:t>
            </w:r>
          </w:p>
        </w:tc>
        <w:tc>
          <w:tcPr>
            <w:tcW w:w="2835" w:type="dxa"/>
          </w:tcPr>
          <w:p w:rsidR="00AB4B71" w:rsidRPr="002113C0" w:rsidRDefault="00AB4B71" w:rsidP="00BB5050">
            <w:pPr>
              <w:ind w:left="0"/>
              <w:jc w:val="right"/>
              <w:rPr>
                <w:lang w:val="da-DK" w:eastAsia="en-US"/>
              </w:rPr>
            </w:pPr>
            <w:r w:rsidRPr="002113C0">
              <w:rPr>
                <w:lang w:val="da-DK" w:eastAsia="en-US"/>
              </w:rPr>
              <w:t>0,95 pct.</w:t>
            </w:r>
          </w:p>
        </w:tc>
      </w:tr>
      <w:tr w:rsidR="00AB4B71" w:rsidRPr="002113C0" w:rsidTr="00BB5050">
        <w:tc>
          <w:tcPr>
            <w:tcW w:w="3570" w:type="dxa"/>
          </w:tcPr>
          <w:p w:rsidR="00AB4B71" w:rsidRPr="002113C0" w:rsidRDefault="00AB4B71" w:rsidP="00BB5050">
            <w:pPr>
              <w:ind w:left="0"/>
              <w:rPr>
                <w:lang w:val="da-DK" w:eastAsia="en-US"/>
              </w:rPr>
            </w:pPr>
            <w:r w:rsidRPr="002113C0">
              <w:rPr>
                <w:lang w:val="da-DK" w:eastAsia="en-US"/>
              </w:rPr>
              <w:t>Udlånsrenten</w:t>
            </w:r>
          </w:p>
        </w:tc>
        <w:tc>
          <w:tcPr>
            <w:tcW w:w="2835" w:type="dxa"/>
          </w:tcPr>
          <w:p w:rsidR="00AB4B71" w:rsidRPr="002113C0" w:rsidRDefault="00AB4B71" w:rsidP="00BB5050">
            <w:pPr>
              <w:keepNext/>
              <w:ind w:left="0"/>
              <w:jc w:val="right"/>
              <w:rPr>
                <w:lang w:val="da-DK" w:eastAsia="en-US"/>
              </w:rPr>
            </w:pPr>
            <w:r w:rsidRPr="002113C0">
              <w:rPr>
                <w:lang w:val="da-DK" w:eastAsia="en-US"/>
              </w:rPr>
              <w:t>1,3 pct.</w:t>
            </w:r>
          </w:p>
        </w:tc>
      </w:tr>
    </w:tbl>
    <w:p w:rsidR="00AB4B71" w:rsidRPr="002113C0" w:rsidRDefault="00AB4B71" w:rsidP="00AB4B71">
      <w:pPr>
        <w:pStyle w:val="Billedtekst"/>
        <w:rPr>
          <w:b w:val="0"/>
          <w:color w:val="auto"/>
          <w:sz w:val="20"/>
          <w:szCs w:val="20"/>
          <w:lang w:val="da-DK" w:eastAsia="en-US"/>
        </w:rPr>
      </w:pPr>
      <w:r w:rsidRPr="002113C0">
        <w:rPr>
          <w:b w:val="0"/>
          <w:color w:val="auto"/>
          <w:sz w:val="20"/>
          <w:szCs w:val="20"/>
          <w:lang w:val="da-DK"/>
        </w:rPr>
        <w:t>Kilde: Nationalbanken</w:t>
      </w:r>
    </w:p>
    <w:p w:rsidR="00AB4B71" w:rsidRPr="002113C0" w:rsidRDefault="00AB4B71" w:rsidP="00AB4B71">
      <w:pPr>
        <w:rPr>
          <w:lang w:val="da-DK"/>
        </w:rPr>
      </w:pPr>
    </w:p>
    <w:p w:rsidR="00AB4B71" w:rsidRPr="002113C0" w:rsidRDefault="00AB4B71" w:rsidP="00AB4B71">
      <w:pPr>
        <w:pStyle w:val="Overskrift1"/>
        <w:rPr>
          <w:lang w:val="da-DK"/>
        </w:rPr>
      </w:pPr>
      <w:r w:rsidRPr="002113C0">
        <w:rPr>
          <w:lang w:val="da-DK"/>
        </w:rPr>
        <w:t xml:space="preserve">Boligmarkedet </w:t>
      </w:r>
    </w:p>
    <w:p w:rsidR="00AB4B71" w:rsidRPr="002113C0" w:rsidRDefault="00AB4B71" w:rsidP="00AB4B71">
      <w:pPr>
        <w:pStyle w:val="Overskrift2"/>
        <w:rPr>
          <w:lang w:val="da-DK" w:eastAsia="en-US"/>
        </w:rPr>
      </w:pPr>
      <w:r w:rsidRPr="002113C0">
        <w:rPr>
          <w:lang w:val="da-DK" w:eastAsia="en-US"/>
        </w:rPr>
        <w:t xml:space="preserve">Nybyggeri </w:t>
      </w:r>
    </w:p>
    <w:p w:rsidR="00AB4B71" w:rsidRPr="002113C0" w:rsidRDefault="00AB4B71" w:rsidP="00AB4B71">
      <w:pPr>
        <w:jc w:val="both"/>
        <w:rPr>
          <w:lang w:val="da-DK" w:eastAsia="en-US"/>
        </w:rPr>
      </w:pPr>
      <w:r w:rsidRPr="002113C0">
        <w:rPr>
          <w:lang w:val="da-DK" w:eastAsia="en-US"/>
        </w:rPr>
        <w:t xml:space="preserve">Dansk </w:t>
      </w:r>
      <w:r>
        <w:rPr>
          <w:lang w:val="da-DK" w:eastAsia="en-US"/>
        </w:rPr>
        <w:t>Byggeri</w:t>
      </w:r>
      <w:r>
        <w:rPr>
          <w:lang w:val="da-DK" w:eastAsia="en-US"/>
        </w:rPr>
        <w:t xml:space="preserve"> </w:t>
      </w:r>
      <w:r w:rsidRPr="002113C0">
        <w:rPr>
          <w:lang w:val="da-DK" w:eastAsia="en-US"/>
        </w:rPr>
        <w:t xml:space="preserve">forventer stigende boligbyggeri i 2011, og antallet af påbegyndte boliger skønnes til at blive 11.500 boliger, hvilket er en stigning på 1.000 boliger sammenlignet med 2010. I 2012 forventes det, at boligbyggeriet vil falde til 11.000 påbegyndte boliger (jf. tabel 3). </w:t>
      </w:r>
    </w:p>
    <w:p w:rsidR="00AB4B71" w:rsidRPr="002113C0" w:rsidRDefault="00AB4B71" w:rsidP="00AB4B71">
      <w:pPr>
        <w:jc w:val="both"/>
        <w:rPr>
          <w:lang w:val="da-DK" w:eastAsia="en-US"/>
        </w:rPr>
      </w:pPr>
    </w:p>
    <w:p w:rsidR="00AB4B71" w:rsidRPr="002113C0" w:rsidRDefault="00AB4B71" w:rsidP="00AB4B71">
      <w:pPr>
        <w:pStyle w:val="Billedtekst"/>
        <w:keepNext/>
        <w:rPr>
          <w:color w:val="auto"/>
          <w:sz w:val="20"/>
          <w:szCs w:val="20"/>
          <w:lang w:val="da-DK"/>
        </w:rPr>
      </w:pPr>
      <w:r w:rsidRPr="002113C0">
        <w:rPr>
          <w:color w:val="auto"/>
          <w:sz w:val="20"/>
          <w:szCs w:val="20"/>
          <w:lang w:val="da-DK"/>
        </w:rPr>
        <w:t>Tabel 3. Antal påbegyndte boliger i 2007-2012</w:t>
      </w:r>
    </w:p>
    <w:p w:rsidR="00AB4B71" w:rsidRPr="002113C0" w:rsidRDefault="00AB4B71" w:rsidP="00AB4B71">
      <w:pPr>
        <w:keepNext/>
        <w:rPr>
          <w:lang w:val="da-DK"/>
        </w:rPr>
      </w:pPr>
      <w:r w:rsidRPr="002113C0">
        <w:rPr>
          <w:noProof/>
          <w:lang w:val="da-DK" w:eastAsia="da-DK"/>
        </w:rPr>
        <w:drawing>
          <wp:inline distT="0" distB="0" distL="0" distR="0">
            <wp:extent cx="3873500" cy="767715"/>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3500" cy="767715"/>
                    </a:xfrm>
                    <a:prstGeom prst="rect">
                      <a:avLst/>
                    </a:prstGeom>
                    <a:noFill/>
                    <a:ln>
                      <a:noFill/>
                    </a:ln>
                  </pic:spPr>
                </pic:pic>
              </a:graphicData>
            </a:graphic>
          </wp:inline>
        </w:drawing>
      </w:r>
    </w:p>
    <w:p w:rsidR="00AB4B71" w:rsidRPr="002113C0" w:rsidRDefault="00AB4B71" w:rsidP="00AB4B71">
      <w:pPr>
        <w:pStyle w:val="Billedtekst"/>
        <w:rPr>
          <w:b w:val="0"/>
          <w:color w:val="auto"/>
          <w:sz w:val="20"/>
          <w:szCs w:val="20"/>
          <w:lang w:val="da-DK" w:eastAsia="en-US"/>
        </w:rPr>
      </w:pPr>
      <w:r w:rsidRPr="002113C0">
        <w:rPr>
          <w:b w:val="0"/>
          <w:color w:val="auto"/>
          <w:sz w:val="20"/>
          <w:szCs w:val="20"/>
          <w:lang w:val="da-DK"/>
        </w:rPr>
        <w:t>Kilde: Dansk Byggeris Konjunkturanalyse februar 2011</w:t>
      </w:r>
    </w:p>
    <w:p w:rsidR="00AB4B71" w:rsidRPr="00E421F4" w:rsidRDefault="00AB4B71" w:rsidP="00AB4B71">
      <w:pPr>
        <w:pStyle w:val="Overskrift3"/>
        <w:rPr>
          <w:rFonts w:ascii="Verdana" w:hAnsi="Verdana"/>
        </w:rPr>
      </w:pPr>
      <w:r>
        <w:t>Det almene boligbyggeri</w:t>
      </w:r>
      <w:r w:rsidRPr="00E421F4">
        <w:t xml:space="preserve"> </w:t>
      </w:r>
    </w:p>
    <w:p w:rsidR="00AB4B71" w:rsidRDefault="00AB4B71" w:rsidP="00AB4B71">
      <w:pPr>
        <w:jc w:val="both"/>
        <w:rPr>
          <w:lang w:val="da-DK" w:eastAsia="en-US"/>
        </w:rPr>
      </w:pPr>
      <w:r w:rsidRPr="002113C0">
        <w:rPr>
          <w:lang w:val="da-DK" w:eastAsia="en-US"/>
        </w:rPr>
        <w:t>I 2011 stiger nybyggeriet af almene boliger på grund af ekstraordinært mange tilsagn i 2010</w:t>
      </w:r>
      <w:r>
        <w:rPr>
          <w:lang w:val="da-DK" w:eastAsia="en-US"/>
        </w:rPr>
        <w:t xml:space="preserve">, hvor der blev givet </w:t>
      </w:r>
      <w:r w:rsidRPr="002113C0">
        <w:rPr>
          <w:lang w:val="da-DK" w:eastAsia="en-US"/>
        </w:rPr>
        <w:t>tilsagn til ikke min</w:t>
      </w:r>
      <w:r>
        <w:rPr>
          <w:lang w:val="da-DK" w:eastAsia="en-US"/>
        </w:rPr>
        <w:t>dre end 16.664 boliger</w:t>
      </w:r>
      <w:r w:rsidRPr="002113C0">
        <w:rPr>
          <w:lang w:val="da-DK" w:eastAsia="en-US"/>
        </w:rPr>
        <w:t>, sammenlignet med 4.391 tilsagn i 2009.</w:t>
      </w:r>
      <w:r>
        <w:rPr>
          <w:lang w:val="da-DK" w:eastAsia="en-US"/>
        </w:rPr>
        <w:t xml:space="preserve"> Den kraftige vækst i tilsagnene til nybyggeri af almene boliger skyldes grund</w:t>
      </w:r>
      <w:r>
        <w:rPr>
          <w:lang w:val="da-DK" w:eastAsia="en-US"/>
        </w:rPr>
        <w:t>læggende et behov for boligerne</w:t>
      </w:r>
      <w:r>
        <w:rPr>
          <w:lang w:val="da-DK" w:eastAsia="en-US"/>
        </w:rPr>
        <w:t xml:space="preserve"> i kommunerne, men periodiser</w:t>
      </w:r>
      <w:r>
        <w:rPr>
          <w:lang w:val="da-DK" w:eastAsia="en-US"/>
        </w:rPr>
        <w:t>ingen mellem 2010 og 2011 hænger</w:t>
      </w:r>
      <w:r>
        <w:rPr>
          <w:lang w:val="da-DK" w:eastAsia="en-US"/>
        </w:rPr>
        <w:t xml:space="preserve"> også sammen med, at det kommunale grundkapitalindskud blev fordoblet fra 7 pct. til 14 pct. af anskaffelsessummen</w:t>
      </w:r>
      <w:r w:rsidR="001D79D6">
        <w:rPr>
          <w:lang w:val="da-DK" w:eastAsia="en-US"/>
        </w:rPr>
        <w:t xml:space="preserve"> </w:t>
      </w:r>
      <w:r>
        <w:rPr>
          <w:lang w:val="da-DK" w:eastAsia="en-US"/>
        </w:rPr>
        <w:t>fra 1. januar 2011</w:t>
      </w:r>
      <w:r w:rsidR="001D79D6">
        <w:rPr>
          <w:lang w:val="da-DK" w:eastAsia="en-US"/>
        </w:rPr>
        <w:t xml:space="preserve">. </w:t>
      </w:r>
      <w:r>
        <w:rPr>
          <w:lang w:val="da-DK" w:eastAsia="en-US"/>
        </w:rPr>
        <w:t>Hvorvidt nogle af tilsag</w:t>
      </w:r>
      <w:r w:rsidR="001D79D6">
        <w:rPr>
          <w:lang w:val="da-DK" w:eastAsia="en-US"/>
        </w:rPr>
        <w:t>n</w:t>
      </w:r>
      <w:r>
        <w:rPr>
          <w:lang w:val="da-DK" w:eastAsia="en-US"/>
        </w:rPr>
        <w:t xml:space="preserve">ene vil falde bort som følge af en presset økonomi i kommunerne er det </w:t>
      </w:r>
      <w:r>
        <w:rPr>
          <w:lang w:val="da-DK" w:eastAsia="en-US"/>
        </w:rPr>
        <w:lastRenderedPageBreak/>
        <w:t xml:space="preserve">vanskeligt at skønne over, og på nuværende tidspunkt er udgangspunktet, at alle tilsagn gennemføres. </w:t>
      </w:r>
    </w:p>
    <w:p w:rsidR="00AB4B71" w:rsidRPr="00E421F4" w:rsidRDefault="00AB4B71" w:rsidP="00AB4B71">
      <w:pPr>
        <w:pStyle w:val="Overskrift3"/>
        <w:rPr>
          <w:rFonts w:ascii="Verdana" w:hAnsi="Verdana"/>
        </w:rPr>
      </w:pPr>
      <w:r>
        <w:t>Det private</w:t>
      </w:r>
      <w:r w:rsidRPr="00111E65">
        <w:rPr>
          <w:lang w:val="da-DK"/>
        </w:rPr>
        <w:t xml:space="preserve"> boligbyggeri</w:t>
      </w:r>
      <w:r w:rsidRPr="00E421F4">
        <w:t xml:space="preserve"> </w:t>
      </w:r>
    </w:p>
    <w:p w:rsidR="00AB4B71" w:rsidRDefault="00AB4B71" w:rsidP="00AB4B71">
      <w:pPr>
        <w:jc w:val="both"/>
        <w:rPr>
          <w:lang w:val="da-DK" w:eastAsia="en-US"/>
        </w:rPr>
      </w:pPr>
      <w:r w:rsidRPr="002113C0">
        <w:rPr>
          <w:lang w:val="da-DK" w:eastAsia="en-US"/>
        </w:rPr>
        <w:t xml:space="preserve">Det forventes, at nedgangen i det private boligbyggeri vil fortsætte i 2011, hvilket især skyldes, at en del projekter blev fremrykket til 2010 for at undgå moms på byggegrunde. </w:t>
      </w:r>
      <w:r>
        <w:rPr>
          <w:lang w:val="da-DK" w:eastAsia="en-US"/>
        </w:rPr>
        <w:t>E</w:t>
      </w:r>
      <w:r w:rsidRPr="002113C0">
        <w:rPr>
          <w:lang w:val="da-DK" w:eastAsia="en-US"/>
        </w:rPr>
        <w:t xml:space="preserve">n del </w:t>
      </w:r>
      <w:r>
        <w:rPr>
          <w:lang w:val="da-DK" w:eastAsia="en-US"/>
        </w:rPr>
        <w:t>bygge</w:t>
      </w:r>
      <w:r w:rsidRPr="002113C0">
        <w:rPr>
          <w:lang w:val="da-DK" w:eastAsia="en-US"/>
        </w:rPr>
        <w:t xml:space="preserve">projekter </w:t>
      </w:r>
      <w:r>
        <w:rPr>
          <w:lang w:val="da-DK" w:eastAsia="en-US"/>
        </w:rPr>
        <w:t xml:space="preserve">er således blevet fremrykket </w:t>
      </w:r>
      <w:r w:rsidRPr="002113C0">
        <w:rPr>
          <w:lang w:val="da-DK" w:eastAsia="en-US"/>
        </w:rPr>
        <w:t>til 2010, hvilket resulterede i, at antallet af påbegyndelser sidste år blev forøget på bekostning af niveauet i år</w:t>
      </w:r>
      <w:r w:rsidRPr="009C33C8">
        <w:rPr>
          <w:lang w:val="da-DK" w:eastAsia="en-US"/>
        </w:rPr>
        <w:t xml:space="preserve"> </w:t>
      </w:r>
      <w:r>
        <w:rPr>
          <w:lang w:val="da-DK" w:eastAsia="en-US"/>
        </w:rPr>
        <w:t xml:space="preserve">(Dansk Byggeris Konjunkturanalyse februar 2011). </w:t>
      </w:r>
    </w:p>
    <w:p w:rsidR="00AB4B71" w:rsidRDefault="00AB4B71" w:rsidP="00AB4B71">
      <w:pPr>
        <w:jc w:val="both"/>
        <w:rPr>
          <w:lang w:val="da-DK" w:eastAsia="en-US"/>
        </w:rPr>
      </w:pPr>
    </w:p>
    <w:p w:rsidR="00AB4B71" w:rsidRPr="002113C0" w:rsidRDefault="00AB4B71" w:rsidP="00AB4B71">
      <w:pPr>
        <w:jc w:val="both"/>
        <w:rPr>
          <w:lang w:val="da-DK" w:eastAsia="en-US"/>
        </w:rPr>
      </w:pPr>
      <w:r w:rsidRPr="002113C0">
        <w:rPr>
          <w:lang w:val="da-DK" w:eastAsia="en-US"/>
        </w:rPr>
        <w:t>En anden ting der påvirker det private boligbyggeri er udviklingen i priserne på de eksisterende boliger sammenholdt med udviklingen i byggeomkostningerne.</w:t>
      </w:r>
      <w:r>
        <w:rPr>
          <w:lang w:val="da-DK" w:eastAsia="en-US"/>
        </w:rPr>
        <w:t xml:space="preserve"> Efter en stabil udvikling med pæn fremgang igennem 2009 og det meste af 2010</w:t>
      </w:r>
      <w:r w:rsidR="00782F8A">
        <w:rPr>
          <w:lang w:val="da-DK" w:eastAsia="en-US"/>
        </w:rPr>
        <w:t>,</w:t>
      </w:r>
      <w:r>
        <w:rPr>
          <w:lang w:val="da-DK" w:eastAsia="en-US"/>
        </w:rPr>
        <w:t xml:space="preserve"> faldt kontantprisen på enfamiliehuse i 4. kvartal 2010 med godt 1 pct. sammenlignet med det forrige kvartal. Opbremsningen i boligpriserne kommer efter en stigning i både de korte og lange renter i samme periode. Renteniveauet er fortsat med at stige i 2011. Derudover er det store udbud af ejerboliger og de lange </w:t>
      </w:r>
      <w:proofErr w:type="spellStart"/>
      <w:r>
        <w:rPr>
          <w:lang w:val="da-DK" w:eastAsia="en-US"/>
        </w:rPr>
        <w:t>liggetider</w:t>
      </w:r>
      <w:proofErr w:type="spellEnd"/>
      <w:r>
        <w:rPr>
          <w:lang w:val="da-DK" w:eastAsia="en-US"/>
        </w:rPr>
        <w:t xml:space="preserve"> med til at lægge et nedadrettet pres på boligpriserne</w:t>
      </w:r>
      <w:r w:rsidR="00782F8A">
        <w:rPr>
          <w:lang w:val="da-DK" w:eastAsia="en-US"/>
        </w:rPr>
        <w:t xml:space="preserve"> </w:t>
      </w:r>
      <w:r>
        <w:rPr>
          <w:lang w:val="da-DK" w:eastAsia="en-US"/>
        </w:rPr>
        <w:t xml:space="preserve">(Økonomisk Redegørelse – Maj 2011, Finansministeriet). </w:t>
      </w:r>
    </w:p>
    <w:p w:rsidR="00AB4B71" w:rsidRDefault="00AB4B71" w:rsidP="00AB4B71">
      <w:pPr>
        <w:jc w:val="both"/>
        <w:rPr>
          <w:lang w:val="da-DK" w:eastAsia="en-US"/>
        </w:rPr>
      </w:pPr>
    </w:p>
    <w:p w:rsidR="00AB4B71" w:rsidRPr="002113C0" w:rsidRDefault="00AB4B71" w:rsidP="00AB4B71">
      <w:pPr>
        <w:pStyle w:val="Overskrift1"/>
        <w:jc w:val="both"/>
        <w:rPr>
          <w:lang w:val="da-DK"/>
        </w:rPr>
      </w:pPr>
      <w:r w:rsidRPr="002113C0">
        <w:rPr>
          <w:lang w:val="da-DK"/>
        </w:rPr>
        <w:t xml:space="preserve">Aktuel boligpolitik </w:t>
      </w:r>
    </w:p>
    <w:p w:rsidR="00AB4B71" w:rsidRPr="002113C0" w:rsidRDefault="00AB4B71" w:rsidP="00AB4B71">
      <w:pPr>
        <w:jc w:val="both"/>
        <w:rPr>
          <w:lang w:val="da-DK"/>
        </w:rPr>
      </w:pPr>
    </w:p>
    <w:p w:rsidR="00AB4B71" w:rsidRPr="002113C0" w:rsidRDefault="00AB4B71" w:rsidP="00AB4B71">
      <w:pPr>
        <w:jc w:val="both"/>
        <w:rPr>
          <w:lang w:val="da-DK"/>
        </w:rPr>
      </w:pPr>
      <w:r w:rsidRPr="002113C0">
        <w:rPr>
          <w:lang w:val="da-DK"/>
        </w:rPr>
        <w:t>Aktiviteterne i BL er præget af, at vi den 2. og 3. september 2011 holder vores hidtil største arrangement - Almene Boligdage i Bella Center i København.</w:t>
      </w:r>
    </w:p>
    <w:p w:rsidR="00AB4B71" w:rsidRDefault="00AB4B71" w:rsidP="00AB4B71">
      <w:pPr>
        <w:jc w:val="both"/>
        <w:rPr>
          <w:lang w:val="da-DK"/>
        </w:rPr>
      </w:pPr>
    </w:p>
    <w:p w:rsidR="00AB4B71" w:rsidRPr="002113C0" w:rsidRDefault="00AB4B71" w:rsidP="00AB4B71">
      <w:pPr>
        <w:jc w:val="both"/>
        <w:rPr>
          <w:lang w:val="da-DK"/>
        </w:rPr>
      </w:pPr>
      <w:r w:rsidRPr="002113C0">
        <w:rPr>
          <w:lang w:val="da-DK"/>
        </w:rPr>
        <w:t xml:space="preserve">Under overskriften "Lidt mere af det hele" vil vi vise noget af alt det frem, som Danmarks Almene Boliger er gode til. Arrangementet vil bestå af en lukket konference for vores medlemmer sammen med et messe- og udstillingsområde, som også er åbent for offentligheden. Messe- og udstillingsområdet bliver omdannet til en </w:t>
      </w:r>
      <w:proofErr w:type="spellStart"/>
      <w:r w:rsidRPr="002113C0">
        <w:rPr>
          <w:lang w:val="da-DK"/>
        </w:rPr>
        <w:t>bygade</w:t>
      </w:r>
      <w:proofErr w:type="spellEnd"/>
      <w:r w:rsidRPr="002113C0">
        <w:rPr>
          <w:lang w:val="da-DK"/>
        </w:rPr>
        <w:t xml:space="preserve"> med bygninger i fuld størrelse, interiør, gallerier, stande, aktiviteter og underholdning. Dertil kommer oplæg i plenum for alle, workshops og ekskursioner i København og omegn. </w:t>
      </w:r>
    </w:p>
    <w:p w:rsidR="00AB4B71" w:rsidRPr="002113C0" w:rsidRDefault="00AB4B71" w:rsidP="00AB4B71">
      <w:pPr>
        <w:jc w:val="both"/>
        <w:rPr>
          <w:lang w:val="da-DK"/>
        </w:rPr>
      </w:pPr>
      <w:r w:rsidRPr="002113C0">
        <w:rPr>
          <w:lang w:val="da-DK"/>
        </w:rPr>
        <w:t xml:space="preserve">Læs mere om Almene boligdage på </w:t>
      </w:r>
      <w:hyperlink r:id="rId10" w:history="1">
        <w:r w:rsidRPr="002113C0">
          <w:rPr>
            <w:rStyle w:val="Hyperlink"/>
            <w:lang w:val="da-DK"/>
          </w:rPr>
          <w:t>http://www.bl.dk/almene-boligdage/om-almene-boligdage</w:t>
        </w:r>
      </w:hyperlink>
    </w:p>
    <w:p w:rsidR="00AB4B71" w:rsidRPr="002113C0" w:rsidRDefault="00AB4B71" w:rsidP="00AB4B71">
      <w:pPr>
        <w:jc w:val="both"/>
        <w:rPr>
          <w:b/>
          <w:lang w:val="da-DK"/>
        </w:rPr>
      </w:pPr>
    </w:p>
    <w:p w:rsidR="00AB4B71" w:rsidRDefault="00AB4B71" w:rsidP="00AB4B71">
      <w:pPr>
        <w:pStyle w:val="Overskrift2"/>
        <w:jc w:val="both"/>
        <w:rPr>
          <w:lang w:val="da-DK" w:eastAsia="en-US"/>
        </w:rPr>
      </w:pPr>
      <w:r>
        <w:rPr>
          <w:lang w:val="da-DK" w:eastAsia="en-US"/>
        </w:rPr>
        <w:t xml:space="preserve">Renoveringer og </w:t>
      </w:r>
      <w:proofErr w:type="gramStart"/>
      <w:r w:rsidRPr="002113C0">
        <w:rPr>
          <w:lang w:val="da-DK" w:eastAsia="en-US"/>
        </w:rPr>
        <w:t>boligsociale</w:t>
      </w:r>
      <w:proofErr w:type="gramEnd"/>
      <w:r w:rsidRPr="002113C0">
        <w:rPr>
          <w:lang w:val="da-DK" w:eastAsia="en-US"/>
        </w:rPr>
        <w:t xml:space="preserve"> indsats </w:t>
      </w:r>
    </w:p>
    <w:p w:rsidR="00AB4B71" w:rsidRPr="005B1606" w:rsidDel="007E3F82" w:rsidRDefault="00AB4B71" w:rsidP="00AB4B71">
      <w:pPr>
        <w:rPr>
          <w:lang w:val="da-DK" w:eastAsia="en-US"/>
        </w:rPr>
      </w:pPr>
      <w:r w:rsidRPr="005B1606">
        <w:rPr>
          <w:rFonts w:cs="Arial"/>
          <w:bCs/>
          <w:iCs/>
          <w:lang w:val="da-DK" w:eastAsia="en-US"/>
        </w:rPr>
        <w:t xml:space="preserve">Som led i boligpakken, der blev vedtaget i Folketinget i efteråret, skal Landsbyggefonden yde støtte til renoveringer på næsten 5,2 mia.kr. i 2011, hvilket er det største beløb nogensinde. Samtidig er den boligsociale indsats videreført en årlig ramme på 440 mill.kr. om året og med en ny bevillingspraksis, der sikrer bedre rammer til udformning af de boligsociale helhedsplaner. </w:t>
      </w:r>
    </w:p>
    <w:p w:rsidR="00AB4B71" w:rsidRPr="002113C0" w:rsidRDefault="00AB4B71" w:rsidP="00AB4B71">
      <w:pPr>
        <w:jc w:val="both"/>
        <w:rPr>
          <w:lang w:val="da-DK"/>
        </w:rPr>
      </w:pPr>
    </w:p>
    <w:p w:rsidR="00AB4B71" w:rsidRPr="002113C0" w:rsidRDefault="00AB4B71" w:rsidP="00AB4B71">
      <w:pPr>
        <w:pStyle w:val="Overskrift2"/>
        <w:jc w:val="both"/>
        <w:rPr>
          <w:lang w:val="da-DK" w:eastAsia="en-US"/>
        </w:rPr>
      </w:pPr>
      <w:r w:rsidRPr="002113C0">
        <w:rPr>
          <w:lang w:val="da-DK" w:eastAsia="en-US"/>
        </w:rPr>
        <w:t>Ny salgslov</w:t>
      </w:r>
    </w:p>
    <w:p w:rsidR="00AB4B71" w:rsidRPr="002113C0" w:rsidRDefault="00AB4B71" w:rsidP="00AB4B71">
      <w:pPr>
        <w:jc w:val="both"/>
        <w:rPr>
          <w:lang w:val="da-DK"/>
        </w:rPr>
      </w:pPr>
      <w:r w:rsidRPr="002113C0">
        <w:rPr>
          <w:lang w:val="da-DK"/>
        </w:rPr>
        <w:t>Vi har fået nye regler for salg af almene boliger. Loven træder i kraft 1. juli 2011. Grundlæggende imødekommer regeringen meget af den kritik, vi har haft af de tidligere regler, og salg betragtes nu primært som et bypolitisk redskab, der kan bruges i samarbejde mellem kommuner og boligorganisationer. Samtidig styrkes mulighederne for at bruge salgsprovenuet til et løft af boligområdet.</w:t>
      </w:r>
    </w:p>
    <w:p w:rsidR="00AB4B71" w:rsidRPr="002113C0" w:rsidRDefault="00AB4B71" w:rsidP="00AB4B71">
      <w:pPr>
        <w:jc w:val="both"/>
        <w:rPr>
          <w:lang w:val="da-DK"/>
        </w:rPr>
      </w:pPr>
    </w:p>
    <w:p w:rsidR="00AB4B71" w:rsidRPr="002113C0" w:rsidRDefault="00AB4B71" w:rsidP="00AB4B71">
      <w:pPr>
        <w:rPr>
          <w:lang w:val="da-DK"/>
        </w:rPr>
      </w:pPr>
      <w:r w:rsidRPr="002113C0">
        <w:rPr>
          <w:lang w:val="da-DK"/>
        </w:rPr>
        <w:lastRenderedPageBreak/>
        <w:t>Den nye lov indeholder:</w:t>
      </w:r>
      <w:r w:rsidRPr="002113C0">
        <w:rPr>
          <w:lang w:val="da-DK"/>
        </w:rPr>
        <w:br/>
      </w:r>
    </w:p>
    <w:p w:rsidR="00AB4B71" w:rsidRPr="002113C0" w:rsidRDefault="00AB4B71" w:rsidP="00AB4B71">
      <w:pPr>
        <w:jc w:val="both"/>
        <w:rPr>
          <w:lang w:val="da-DK"/>
        </w:rPr>
      </w:pPr>
      <w:r w:rsidRPr="002113C0">
        <w:rPr>
          <w:lang w:val="da-DK"/>
        </w:rPr>
        <w:t>- Ny salgsordning for salg til lejerne og salg af ledige boliger</w:t>
      </w:r>
    </w:p>
    <w:p w:rsidR="00AB4B71" w:rsidRPr="002113C0" w:rsidRDefault="00AB4B71" w:rsidP="00AB4B71">
      <w:pPr>
        <w:jc w:val="both"/>
        <w:rPr>
          <w:lang w:val="da-DK"/>
        </w:rPr>
      </w:pPr>
      <w:r w:rsidRPr="002113C0">
        <w:rPr>
          <w:lang w:val="da-DK"/>
        </w:rPr>
        <w:t>- Ny praksis vedrørende helt eller delvist salg af en afdeling</w:t>
      </w:r>
    </w:p>
    <w:p w:rsidR="00AB4B71" w:rsidRPr="002113C0" w:rsidRDefault="00AB4B71" w:rsidP="00AB4B71">
      <w:pPr>
        <w:jc w:val="both"/>
        <w:rPr>
          <w:lang w:val="da-DK"/>
        </w:rPr>
      </w:pPr>
      <w:proofErr w:type="spellStart"/>
      <w:r>
        <w:rPr>
          <w:lang w:val="da-DK"/>
        </w:rPr>
        <w:t>-</w:t>
      </w:r>
      <w:r w:rsidRPr="002113C0">
        <w:rPr>
          <w:lang w:val="da-DK"/>
        </w:rPr>
        <w:t>Anvendelse</w:t>
      </w:r>
      <w:proofErr w:type="spellEnd"/>
      <w:r w:rsidRPr="002113C0">
        <w:rPr>
          <w:lang w:val="da-DK"/>
        </w:rPr>
        <w:t xml:space="preserve"> af overskuddet ved helt eller delvist salg af en afdeling</w:t>
      </w:r>
      <w:r w:rsidRPr="002113C0">
        <w:rPr>
          <w:lang w:val="da-DK"/>
        </w:rPr>
        <w:br/>
      </w:r>
    </w:p>
    <w:p w:rsidR="00AB4B71" w:rsidRPr="002113C0" w:rsidRDefault="00AB4B71" w:rsidP="00AB4B71">
      <w:pPr>
        <w:jc w:val="both"/>
        <w:rPr>
          <w:lang w:val="da-DK"/>
        </w:rPr>
      </w:pPr>
      <w:r w:rsidRPr="002113C0">
        <w:rPr>
          <w:lang w:val="da-DK"/>
        </w:rPr>
        <w:t>Udgangspunktet i den nye ordning er, at kommunalbestyrelsen og boligorganisationen skal være enige om beslutningen om salg. Salg uden om boligorganisationen kræver tilslutning fra mindst 2/3 af lejerne ved en urafstemning. I udsatte boligområder vil salgsprovenuet kunne gå til medfinansiering af en helhedsplan.</w:t>
      </w:r>
    </w:p>
    <w:p w:rsidR="00AB4B71" w:rsidRPr="002113C0" w:rsidRDefault="00AB4B71" w:rsidP="00AB4B71">
      <w:pPr>
        <w:jc w:val="both"/>
        <w:rPr>
          <w:lang w:val="da-DK"/>
        </w:rPr>
      </w:pPr>
    </w:p>
    <w:p w:rsidR="00AB4B71" w:rsidRPr="002113C0" w:rsidRDefault="00AB4B71" w:rsidP="00AB4B71">
      <w:pPr>
        <w:jc w:val="both"/>
        <w:rPr>
          <w:lang w:val="da-DK"/>
        </w:rPr>
      </w:pPr>
      <w:r w:rsidRPr="002113C0">
        <w:rPr>
          <w:lang w:val="da-DK"/>
        </w:rPr>
        <w:t>Samtidig lempes den gældende praksis for salg af hele blokke eller dele af en afdeling, så der fremover i større omfang kan ske salg til tredjemand i udsatte boligområder omfattet af en godkendt helhedsplan. Som et væsentligt led heri kan nettooverskuddet helt eller delvist anvendes til finansiering af helhedsplanen i stedet for ekstraordinær indfrielse af lån i afdelingen.</w:t>
      </w:r>
    </w:p>
    <w:p w:rsidR="00AB4B71" w:rsidRPr="002113C0" w:rsidRDefault="00AB4B71" w:rsidP="00AB4B71">
      <w:pPr>
        <w:jc w:val="both"/>
        <w:rPr>
          <w:lang w:val="da-DK"/>
        </w:rPr>
      </w:pPr>
    </w:p>
    <w:p w:rsidR="00AB4B71" w:rsidRPr="002113C0" w:rsidRDefault="00AB4B71" w:rsidP="00AB4B71">
      <w:pPr>
        <w:pStyle w:val="Overskrift2"/>
        <w:jc w:val="both"/>
        <w:rPr>
          <w:lang w:val="da-DK"/>
        </w:rPr>
      </w:pPr>
      <w:r w:rsidRPr="002113C0">
        <w:rPr>
          <w:lang w:val="da-DK" w:eastAsia="en-US"/>
        </w:rPr>
        <w:t>Inspirationskatalog</w:t>
      </w:r>
    </w:p>
    <w:p w:rsidR="00AB4B71" w:rsidRPr="002113C0" w:rsidRDefault="00AB4B71" w:rsidP="00AB4B71">
      <w:pPr>
        <w:jc w:val="both"/>
        <w:rPr>
          <w:rFonts w:ascii="Arial" w:hAnsi="Arial" w:cs="Arial"/>
          <w:color w:val="171F29"/>
          <w:sz w:val="18"/>
          <w:szCs w:val="18"/>
          <w:lang w:val="da-DK"/>
        </w:rPr>
      </w:pPr>
      <w:r w:rsidRPr="002113C0">
        <w:rPr>
          <w:lang w:val="da-DK"/>
        </w:rPr>
        <w:t xml:space="preserve">Vi vil afslutningsvis gøre opmærksom på et en ny og spændende hjemmeside, som er startet op af foreningen </w:t>
      </w:r>
      <w:proofErr w:type="spellStart"/>
      <w:r w:rsidRPr="002113C0">
        <w:rPr>
          <w:lang w:val="da-DK"/>
        </w:rPr>
        <w:t>Almennet</w:t>
      </w:r>
      <w:proofErr w:type="spellEnd"/>
      <w:r w:rsidRPr="002113C0">
        <w:rPr>
          <w:lang w:val="da-DK"/>
        </w:rPr>
        <w:t xml:space="preserve"> </w:t>
      </w:r>
      <w:hyperlink r:id="rId11" w:history="1">
        <w:r w:rsidRPr="002113C0">
          <w:rPr>
            <w:rStyle w:val="Hyperlink"/>
            <w:lang w:val="da-DK"/>
          </w:rPr>
          <w:t>http://inspirationskatalog.dk/</w:t>
        </w:r>
      </w:hyperlink>
      <w:r w:rsidRPr="002113C0">
        <w:rPr>
          <w:lang w:val="da-DK"/>
        </w:rPr>
        <w:t xml:space="preserve"> . Her formidles erfaringer og gode ideer fra innovative renoveringsprojekter, som måske også kan være til gavn i de andre nordiske lande. </w:t>
      </w:r>
    </w:p>
    <w:p w:rsidR="00AB4B71" w:rsidRPr="002113C0" w:rsidRDefault="00AB4B71" w:rsidP="00AB4B71">
      <w:pPr>
        <w:pStyle w:val="Overskrift2"/>
        <w:jc w:val="both"/>
        <w:rPr>
          <w:lang w:val="da-DK" w:eastAsia="en-US"/>
        </w:rPr>
      </w:pPr>
      <w:r w:rsidRPr="002113C0">
        <w:rPr>
          <w:lang w:val="da-DK" w:eastAsia="en-US"/>
        </w:rPr>
        <w:t xml:space="preserve"> </w:t>
      </w:r>
    </w:p>
    <w:p w:rsidR="00AB4B71" w:rsidRDefault="00AB4B71" w:rsidP="00AB4B71">
      <w:pPr>
        <w:pStyle w:val="Overskrift3"/>
        <w:jc w:val="both"/>
      </w:pPr>
    </w:p>
    <w:p w:rsidR="00AB4B71" w:rsidRPr="00FF3AEF" w:rsidRDefault="00AB4B71" w:rsidP="00AB4B71">
      <w:pPr>
        <w:jc w:val="both"/>
        <w:rPr>
          <w:rFonts w:ascii="BoverketUnivers" w:hAnsi="BoverketUnivers" w:cs="BoverketUnivers"/>
          <w:sz w:val="19"/>
          <w:szCs w:val="19"/>
        </w:rPr>
      </w:pPr>
    </w:p>
    <w:p w:rsidR="00AB4B71" w:rsidRPr="00146951" w:rsidRDefault="00AB4B71" w:rsidP="00AB4B71">
      <w:pPr>
        <w:jc w:val="both"/>
        <w:rPr>
          <w:rFonts w:ascii="BoverketUnivers" w:hAnsi="BoverketUnivers" w:cs="BoverketUnivers"/>
          <w:sz w:val="19"/>
          <w:szCs w:val="19"/>
          <w:lang w:val="da-DK"/>
        </w:rPr>
      </w:pPr>
    </w:p>
    <w:p w:rsidR="00AB4B71" w:rsidRPr="00146951" w:rsidRDefault="00AB4B71" w:rsidP="00AB4B71">
      <w:pPr>
        <w:jc w:val="both"/>
        <w:rPr>
          <w:rStyle w:val="a2009xxxbrodtext1"/>
          <w:sz w:val="18"/>
          <w:szCs w:val="18"/>
          <w:lang w:val="da-DK"/>
        </w:rPr>
      </w:pPr>
    </w:p>
    <w:p w:rsidR="00AB4B71" w:rsidRPr="00146951" w:rsidRDefault="00AB4B71" w:rsidP="00AB4B71">
      <w:pPr>
        <w:jc w:val="both"/>
        <w:rPr>
          <w:rFonts w:ascii="BoverketUnivers" w:hAnsi="BoverketUnivers" w:cs="BoverketUnivers"/>
          <w:sz w:val="19"/>
          <w:szCs w:val="19"/>
          <w:lang w:val="da-DK"/>
        </w:rPr>
      </w:pPr>
    </w:p>
    <w:p w:rsidR="00AB4B71" w:rsidRPr="00146951" w:rsidRDefault="00AB4B71" w:rsidP="00AB4B71">
      <w:pPr>
        <w:jc w:val="both"/>
        <w:rPr>
          <w:rFonts w:ascii="BoverketUnivers" w:hAnsi="BoverketUnivers" w:cs="BoverketUnivers"/>
          <w:sz w:val="19"/>
          <w:szCs w:val="19"/>
          <w:lang w:val="da-DK"/>
        </w:rPr>
      </w:pPr>
    </w:p>
    <w:p w:rsidR="00AB4B71" w:rsidRPr="00146951" w:rsidRDefault="00AB4B71" w:rsidP="00AB4B71">
      <w:pPr>
        <w:jc w:val="both"/>
        <w:rPr>
          <w:color w:val="943634" w:themeColor="accent2" w:themeShade="BF"/>
          <w:lang w:val="da-DK"/>
        </w:rPr>
      </w:pPr>
    </w:p>
    <w:p w:rsidR="00AB4B71" w:rsidRPr="00146951" w:rsidRDefault="00AB4B71" w:rsidP="00AB4B71">
      <w:pPr>
        <w:jc w:val="both"/>
        <w:rPr>
          <w:color w:val="943634" w:themeColor="accent2" w:themeShade="BF"/>
          <w:lang w:val="da-DK"/>
        </w:rPr>
      </w:pPr>
    </w:p>
    <w:p w:rsidR="00AB4B71" w:rsidRPr="00146951" w:rsidRDefault="00AB4B71" w:rsidP="00AB4B71">
      <w:pPr>
        <w:jc w:val="both"/>
        <w:rPr>
          <w:color w:val="943634" w:themeColor="accent2" w:themeShade="BF"/>
          <w:lang w:val="da-DK" w:eastAsia="da-DK"/>
        </w:rPr>
      </w:pPr>
      <w:r w:rsidRPr="00146951">
        <w:rPr>
          <w:color w:val="943634" w:themeColor="accent2" w:themeShade="BF"/>
          <w:lang w:val="da-DK" w:eastAsia="da-DK"/>
        </w:rPr>
        <w:t xml:space="preserve">. </w:t>
      </w:r>
    </w:p>
    <w:p w:rsidR="00622C5F" w:rsidRDefault="00622C5F"/>
    <w:sectPr w:rsidR="00622C5F" w:rsidSect="00120F88">
      <w:headerReference w:type="even" r:id="rId12"/>
      <w:headerReference w:type="default" r:id="rId13"/>
      <w:footerReference w:type="even" r:id="rId14"/>
      <w:footerReference w:type="default" r:id="rId15"/>
      <w:headerReference w:type="first" r:id="rId16"/>
      <w:footerReference w:type="first" r:id="rId17"/>
      <w:pgSz w:w="11906" w:h="16838" w:code="9"/>
      <w:pgMar w:top="1919" w:right="748" w:bottom="1797" w:left="720" w:header="902" w:footer="33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53F" w:rsidRDefault="0091753F" w:rsidP="00AB4B71">
      <w:r>
        <w:separator/>
      </w:r>
    </w:p>
  </w:endnote>
  <w:endnote w:type="continuationSeparator" w:id="0">
    <w:p w:rsidR="0091753F" w:rsidRDefault="0091753F" w:rsidP="00AB4B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BoverketUniver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10E" w:rsidRDefault="0091753F" w:rsidP="00FA762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80410E" w:rsidRDefault="0091753F" w:rsidP="00FA762A">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10E" w:rsidRPr="001B3361" w:rsidRDefault="0091753F" w:rsidP="001B3361">
    <w:pPr>
      <w:pStyle w:val="Sidefod"/>
      <w:tabs>
        <w:tab w:val="right" w:pos="9180"/>
      </w:tabs>
      <w:ind w:right="360"/>
      <w:rPr>
        <w:rFonts w:ascii="TradeGothic" w:hAnsi="TradeGothic"/>
        <w:sz w:val="16"/>
        <w:szCs w:val="16"/>
      </w:rPr>
    </w:pPr>
    <w:r>
      <w:rPr>
        <w:rFonts w:ascii="TradeGothic" w:hAnsi="TradeGothic"/>
        <w:sz w:val="16"/>
        <w:szCs w:val="16"/>
      </w:rPr>
      <w:tab/>
    </w:r>
    <w:r>
      <w:rPr>
        <w:rFonts w:ascii="TradeGothic" w:hAnsi="TradeGothic"/>
        <w:sz w:val="18"/>
        <w:szCs w:val="18"/>
      </w:rPr>
      <w:tab/>
    </w:r>
    <w:r w:rsidRPr="00365FCF">
      <w:rPr>
        <w:rFonts w:ascii="TradeGothic" w:hAnsi="TradeGothic"/>
        <w:sz w:val="18"/>
        <w:szCs w:val="18"/>
      </w:rPr>
      <w:t xml:space="preserve">- </w:t>
    </w:r>
    <w:r w:rsidRPr="00365FCF">
      <w:rPr>
        <w:rFonts w:ascii="TradeGothic" w:hAnsi="TradeGothic"/>
        <w:sz w:val="18"/>
        <w:szCs w:val="18"/>
      </w:rPr>
      <w:fldChar w:fldCharType="begin"/>
    </w:r>
    <w:r w:rsidRPr="00365FCF">
      <w:rPr>
        <w:rFonts w:ascii="TradeGothic" w:hAnsi="TradeGothic"/>
        <w:sz w:val="18"/>
        <w:szCs w:val="18"/>
      </w:rPr>
      <w:instrText xml:space="preserve"> PAGE </w:instrText>
    </w:r>
    <w:r w:rsidRPr="00365FCF">
      <w:rPr>
        <w:rFonts w:ascii="TradeGothic" w:hAnsi="TradeGothic"/>
        <w:sz w:val="18"/>
        <w:szCs w:val="18"/>
      </w:rPr>
      <w:fldChar w:fldCharType="separate"/>
    </w:r>
    <w:r w:rsidR="005B1606">
      <w:rPr>
        <w:rFonts w:ascii="TradeGothic" w:hAnsi="TradeGothic"/>
        <w:noProof/>
        <w:sz w:val="18"/>
        <w:szCs w:val="18"/>
      </w:rPr>
      <w:t>2</w:t>
    </w:r>
    <w:r w:rsidRPr="00365FCF">
      <w:rPr>
        <w:rFonts w:ascii="TradeGothic" w:hAnsi="TradeGothic"/>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10E" w:rsidRPr="0075299E" w:rsidRDefault="0091753F" w:rsidP="004B2856">
    <w:pPr>
      <w:pStyle w:val="Sidefod"/>
      <w:tabs>
        <w:tab w:val="left" w:pos="3060"/>
      </w:tabs>
      <w:ind w:firstLine="482"/>
      <w:rPr>
        <w:rFonts w:ascii="TradeGothic" w:hAnsi="TradeGothic"/>
        <w:sz w:val="18"/>
        <w:szCs w:val="18"/>
      </w:rPr>
    </w:pPr>
    <w:r>
      <w:rPr>
        <w:rFonts w:ascii="TradeGothic" w:hAnsi="TradeGothic"/>
        <w:sz w:val="18"/>
        <w:szCs w:val="18"/>
      </w:rPr>
      <w:t xml:space="preserve">NBO, </w:t>
    </w:r>
    <w:r w:rsidRPr="0075299E">
      <w:rPr>
        <w:rFonts w:ascii="TradeGothic" w:hAnsi="TradeGothic"/>
        <w:sz w:val="18"/>
        <w:szCs w:val="18"/>
      </w:rPr>
      <w:t>Nordiska kooperativa och</w:t>
    </w:r>
  </w:p>
  <w:p w:rsidR="0080410E" w:rsidRDefault="0091753F" w:rsidP="004B2856">
    <w:pPr>
      <w:pStyle w:val="Sidefod"/>
      <w:tabs>
        <w:tab w:val="clear" w:pos="4536"/>
        <w:tab w:val="clear" w:pos="9072"/>
        <w:tab w:val="left" w:pos="3060"/>
        <w:tab w:val="left" w:pos="5103"/>
      </w:tabs>
      <w:ind w:firstLine="482"/>
      <w:rPr>
        <w:rFonts w:ascii="TradeGothic" w:hAnsi="TradeGothic"/>
        <w:sz w:val="18"/>
        <w:szCs w:val="18"/>
      </w:rPr>
    </w:pPr>
    <w:r w:rsidRPr="0075299E">
      <w:rPr>
        <w:rFonts w:ascii="TradeGothic" w:hAnsi="TradeGothic"/>
        <w:sz w:val="18"/>
        <w:szCs w:val="18"/>
      </w:rPr>
      <w:t>allmännyttiga bostadsorganisationer</w:t>
    </w:r>
    <w:r>
      <w:rPr>
        <w:rFonts w:ascii="TradeGothic" w:hAnsi="TradeGothic"/>
        <w:sz w:val="18"/>
        <w:szCs w:val="18"/>
      </w:rPr>
      <w:t xml:space="preserve"> </w:t>
    </w:r>
    <w:r>
      <w:rPr>
        <w:rFonts w:ascii="TradeGothic" w:hAnsi="TradeGothic"/>
        <w:sz w:val="18"/>
        <w:szCs w:val="18"/>
      </w:rPr>
      <w:tab/>
      <w:t xml:space="preserve"> www.nbo.nu</w:t>
    </w:r>
    <w:r>
      <w:rPr>
        <w:rFonts w:ascii="TradeGothic" w:hAnsi="TradeGothic"/>
        <w:sz w:val="18"/>
        <w:szCs w:val="18"/>
      </w:rPr>
      <w:tab/>
    </w:r>
  </w:p>
  <w:p w:rsidR="0080410E" w:rsidRDefault="0091753F" w:rsidP="004B2856">
    <w:pPr>
      <w:pStyle w:val="Sidefod"/>
      <w:tabs>
        <w:tab w:val="clear" w:pos="4536"/>
        <w:tab w:val="clear" w:pos="9072"/>
        <w:tab w:val="left" w:pos="3060"/>
      </w:tabs>
      <w:ind w:firstLine="482"/>
      <w:rPr>
        <w:rFonts w:ascii="TradeGothic" w:hAnsi="TradeGothic"/>
        <w:sz w:val="18"/>
        <w:szCs w:val="18"/>
      </w:rPr>
    </w:pPr>
  </w:p>
  <w:p w:rsidR="0080410E" w:rsidRPr="0075299E" w:rsidRDefault="0091753F" w:rsidP="004B2856">
    <w:pPr>
      <w:pStyle w:val="Sidefod"/>
      <w:tabs>
        <w:tab w:val="clear" w:pos="4536"/>
        <w:tab w:val="clear" w:pos="9072"/>
        <w:tab w:val="left" w:pos="3060"/>
      </w:tabs>
      <w:ind w:firstLine="482"/>
      <w:rPr>
        <w:rFonts w:ascii="TradeGothic" w:hAnsi="TradeGothic"/>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53F" w:rsidRDefault="0091753F" w:rsidP="00AB4B71">
      <w:r>
        <w:separator/>
      </w:r>
    </w:p>
  </w:footnote>
  <w:footnote w:type="continuationSeparator" w:id="0">
    <w:p w:rsidR="0091753F" w:rsidRDefault="0091753F" w:rsidP="00AB4B71">
      <w:r>
        <w:continuationSeparator/>
      </w:r>
    </w:p>
  </w:footnote>
  <w:footnote w:id="1">
    <w:p w:rsidR="00AB4B71" w:rsidRPr="00BA3822" w:rsidRDefault="00AB4B71" w:rsidP="00AB4B71">
      <w:pPr>
        <w:pStyle w:val="Fodnotetekst"/>
      </w:pPr>
      <w:r>
        <w:rPr>
          <w:rStyle w:val="Fodnotehenvisning"/>
        </w:rPr>
        <w:footnoteRef/>
      </w:r>
      <w:r>
        <w:t xml:space="preserve"> Harmonized Indices of Consumper Prices</w:t>
      </w:r>
    </w:p>
  </w:footnote>
  <w:footnote w:id="2">
    <w:p w:rsidR="00AB4B71" w:rsidRPr="00E15407" w:rsidRDefault="00AB4B71" w:rsidP="00AB4B71">
      <w:pPr>
        <w:pStyle w:val="Fodnotetekst"/>
        <w:rPr>
          <w:lang w:val="da-DK"/>
        </w:rPr>
      </w:pPr>
      <w:r w:rsidRPr="00E15407">
        <w:rPr>
          <w:rStyle w:val="Fodnotehenvisning"/>
          <w:lang w:val="da-DK"/>
        </w:rPr>
        <w:footnoteRef/>
      </w:r>
      <w:r w:rsidRPr="00E15407">
        <w:rPr>
          <w:lang w:val="da-DK"/>
        </w:rPr>
        <w:t xml:space="preserve"> Nationalbankens diskonto er den rentesats, Nationalbanken anvender ved overtagelse af de private bankers veksler. Renten benyttes som referencerente så Nationalbanken tilstræber at diskontoen følger udviklingen i markedsrenten. </w:t>
      </w:r>
    </w:p>
  </w:footnote>
  <w:footnote w:id="3">
    <w:p w:rsidR="00AB4B71" w:rsidRPr="00B70AF0" w:rsidRDefault="00AB4B71" w:rsidP="00AB4B71">
      <w:pPr>
        <w:pStyle w:val="Fodnotetekst"/>
        <w:rPr>
          <w:lang w:val="da-DK"/>
        </w:rPr>
      </w:pPr>
      <w:r w:rsidRPr="00E15407">
        <w:rPr>
          <w:rStyle w:val="Fodnotehenvisning"/>
          <w:lang w:val="da-DK"/>
        </w:rPr>
        <w:footnoteRef/>
      </w:r>
      <w:r w:rsidRPr="00E15407">
        <w:rPr>
          <w:lang w:val="da-DK"/>
        </w:rPr>
        <w:t xml:space="preserve"> Foliorenten betegner rentesatsen på de private bankers </w:t>
      </w:r>
      <w:proofErr w:type="spellStart"/>
      <w:r w:rsidRPr="00E15407">
        <w:rPr>
          <w:lang w:val="da-DK"/>
        </w:rPr>
        <w:t>dag-til-dag</w:t>
      </w:r>
      <w:proofErr w:type="spellEnd"/>
      <w:r w:rsidRPr="00E15407">
        <w:rPr>
          <w:lang w:val="da-DK"/>
        </w:rPr>
        <w:t xml:space="preserve"> indskud på deres konto i Nationalbanken.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10E" w:rsidRDefault="0091753F" w:rsidP="00FA762A">
    <w:pPr>
      <w:pStyle w:val="Sidehoved"/>
      <w:framePr w:wrap="around" w:vAnchor="text" w:hAnchor="margin" w:y="1"/>
      <w:rPr>
        <w:rStyle w:val="Sidetal"/>
      </w:rPr>
    </w:pPr>
    <w:r>
      <w:rPr>
        <w:rStyle w:val="Sidetal"/>
      </w:rPr>
      <w:fldChar w:fldCharType="begin"/>
    </w:r>
    <w:r>
      <w:rPr>
        <w:rStyle w:val="Sidetal"/>
      </w:rPr>
      <w:instrText xml:space="preserve">PAGE  </w:instrText>
    </w:r>
    <w:r>
      <w:rPr>
        <w:rStyle w:val="Sidetal"/>
      </w:rPr>
      <w:fldChar w:fldCharType="end"/>
    </w:r>
  </w:p>
  <w:p w:rsidR="0080410E" w:rsidRDefault="0091753F" w:rsidP="00FA762A">
    <w:pPr>
      <w:pStyle w:val="Sidehoved"/>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10E" w:rsidRDefault="0091753F" w:rsidP="00120CC8">
    <w:pPr>
      <w:pStyle w:val="Sidehoved"/>
      <w:tabs>
        <w:tab w:val="clear" w:pos="9072"/>
        <w:tab w:val="left" w:pos="8640"/>
      </w:tabs>
      <w:ind w:hanging="1361"/>
    </w:pPr>
    <w:r>
      <w:rPr>
        <w:noProof/>
        <w:color w:val="EEECE1" w:themeColor="background2"/>
        <w:lang w:val="da-DK" w:eastAsia="da-DK"/>
      </w:rPr>
      <w:drawing>
        <wp:anchor distT="0" distB="0" distL="114300" distR="114300" simplePos="0" relativeHeight="251659264" behindDoc="0" locked="0" layoutInCell="1" allowOverlap="1">
          <wp:simplePos x="0" y="0"/>
          <wp:positionH relativeFrom="margin">
            <wp:posOffset>-129540</wp:posOffset>
          </wp:positionH>
          <wp:positionV relativeFrom="margin">
            <wp:posOffset>-890270</wp:posOffset>
          </wp:positionV>
          <wp:extent cx="1785620" cy="600075"/>
          <wp:effectExtent l="0" t="0" r="5080"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O_housing_nordic_Logotype.jp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061" t="8058" b="-9615"/>
                  <a:stretch/>
                </pic:blipFill>
                <pic:spPr bwMode="auto">
                  <a:xfrm>
                    <a:off x="0" y="0"/>
                    <a:ext cx="1785620" cy="6000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10E" w:rsidRDefault="0091753F" w:rsidP="008B222E">
    <w:pPr>
      <w:pStyle w:val="Sidehoved"/>
      <w:tabs>
        <w:tab w:val="clear" w:pos="8998"/>
        <w:tab w:val="clear" w:pos="9072"/>
        <w:tab w:val="clear" w:pos="9718"/>
        <w:tab w:val="left" w:pos="6840"/>
        <w:tab w:val="left" w:pos="7920"/>
        <w:tab w:val="left" w:pos="9180"/>
      </w:tabs>
      <w:ind w:left="0" w:right="540"/>
      <w:rPr>
        <w:rFonts w:ascii="TradeGothic" w:hAnsi="TradeGothic"/>
        <w:sz w:val="18"/>
        <w:szCs w:val="18"/>
      </w:rPr>
    </w:pPr>
    <w:r>
      <w:rPr>
        <w:rFonts w:ascii="TradeGothic" w:hAnsi="TradeGothic"/>
        <w:sz w:val="18"/>
        <w:szCs w:val="18"/>
      </w:rPr>
      <w:tab/>
    </w:r>
    <w:r>
      <w:rPr>
        <w:rFonts w:ascii="TradeGothic" w:hAnsi="TradeGothic"/>
        <w:sz w:val="18"/>
        <w:szCs w:val="18"/>
      </w:rPr>
      <w:tab/>
    </w:r>
  </w:p>
  <w:p w:rsidR="0080410E" w:rsidRDefault="0091753F" w:rsidP="00481CC0">
    <w:pPr>
      <w:pStyle w:val="Sidehoved"/>
      <w:tabs>
        <w:tab w:val="clear" w:pos="8998"/>
        <w:tab w:val="clear" w:pos="9072"/>
        <w:tab w:val="clear" w:pos="9718"/>
        <w:tab w:val="left" w:pos="7920"/>
        <w:tab w:val="left" w:pos="9180"/>
      </w:tabs>
      <w:ind w:left="0" w:right="540"/>
      <w:rPr>
        <w:rFonts w:ascii="TradeGothic" w:hAnsi="TradeGothic"/>
        <w:sz w:val="18"/>
        <w:szCs w:val="18"/>
      </w:rPr>
    </w:pPr>
    <w:r>
      <w:rPr>
        <w:rFonts w:ascii="TradeGothic" w:hAnsi="TradeGothic"/>
        <w:sz w:val="18"/>
        <w:szCs w:val="18"/>
      </w:rPr>
      <w:tab/>
    </w:r>
  </w:p>
  <w:p w:rsidR="0080410E" w:rsidRDefault="0091753F" w:rsidP="00481CC0">
    <w:pPr>
      <w:pStyle w:val="Sidehoved"/>
      <w:tabs>
        <w:tab w:val="clear" w:pos="8998"/>
        <w:tab w:val="clear" w:pos="9072"/>
        <w:tab w:val="clear" w:pos="9718"/>
        <w:tab w:val="left" w:pos="7920"/>
        <w:tab w:val="left" w:pos="9180"/>
      </w:tabs>
      <w:ind w:left="0" w:right="540"/>
      <w:rPr>
        <w:rFonts w:ascii="TradeGothic" w:hAnsi="TradeGothic"/>
        <w:sz w:val="18"/>
        <w:szCs w:val="18"/>
      </w:rPr>
    </w:pPr>
  </w:p>
  <w:p w:rsidR="0080410E" w:rsidRDefault="0091753F" w:rsidP="00481CC0">
    <w:pPr>
      <w:pStyle w:val="Sidehoved"/>
      <w:tabs>
        <w:tab w:val="clear" w:pos="8998"/>
        <w:tab w:val="clear" w:pos="9072"/>
        <w:tab w:val="clear" w:pos="9718"/>
        <w:tab w:val="left" w:pos="7920"/>
        <w:tab w:val="left" w:pos="9180"/>
      </w:tabs>
      <w:ind w:left="0" w:right="540"/>
      <w:rPr>
        <w:rFonts w:ascii="TradeGothic" w:hAnsi="TradeGothic"/>
        <w:sz w:val="18"/>
        <w:szCs w:val="18"/>
      </w:rPr>
    </w:pPr>
  </w:p>
  <w:p w:rsidR="0080410E" w:rsidRDefault="0091753F" w:rsidP="00481CC0">
    <w:pPr>
      <w:pStyle w:val="Sidehoved"/>
      <w:tabs>
        <w:tab w:val="clear" w:pos="8998"/>
        <w:tab w:val="clear" w:pos="9072"/>
        <w:tab w:val="clear" w:pos="9718"/>
        <w:tab w:val="left" w:pos="7920"/>
        <w:tab w:val="left" w:pos="9180"/>
      </w:tabs>
      <w:ind w:left="0" w:right="540"/>
      <w:rPr>
        <w:rFonts w:ascii="TradeGothic" w:hAnsi="TradeGothic"/>
        <w:sz w:val="18"/>
        <w:szCs w:val="18"/>
      </w:rPr>
    </w:pPr>
  </w:p>
  <w:p w:rsidR="0080410E" w:rsidRDefault="0091753F" w:rsidP="00481CC0">
    <w:pPr>
      <w:pStyle w:val="Sidehoved"/>
      <w:tabs>
        <w:tab w:val="clear" w:pos="8998"/>
        <w:tab w:val="clear" w:pos="9072"/>
        <w:tab w:val="clear" w:pos="9718"/>
        <w:tab w:val="left" w:pos="7920"/>
        <w:tab w:val="left" w:pos="9180"/>
      </w:tabs>
      <w:ind w:left="0" w:right="540"/>
      <w:rPr>
        <w:rFonts w:ascii="TradeGothic" w:hAnsi="TradeGothic"/>
        <w:sz w:val="18"/>
        <w:szCs w:val="18"/>
      </w:rPr>
    </w:pPr>
  </w:p>
  <w:p w:rsidR="0080410E" w:rsidRDefault="0091753F" w:rsidP="00481CC0">
    <w:pPr>
      <w:pStyle w:val="Sidehoved"/>
      <w:tabs>
        <w:tab w:val="clear" w:pos="8998"/>
        <w:tab w:val="clear" w:pos="9072"/>
        <w:tab w:val="clear" w:pos="9718"/>
        <w:tab w:val="left" w:pos="7920"/>
        <w:tab w:val="left" w:pos="9180"/>
      </w:tabs>
      <w:ind w:left="0" w:right="540"/>
      <w:rPr>
        <w:rFonts w:ascii="TradeGothic" w:hAnsi="TradeGothic"/>
        <w:sz w:val="18"/>
        <w:szCs w:val="18"/>
      </w:rPr>
    </w:pPr>
    <w:r>
      <w:rPr>
        <w:rFonts w:ascii="TradeGothic" w:hAnsi="TradeGothic"/>
        <w:noProof/>
        <w:sz w:val="18"/>
        <w:szCs w:val="18"/>
        <w:lang w:val="da-DK" w:eastAsia="da-DK"/>
      </w:rPr>
      <w:drawing>
        <wp:anchor distT="0" distB="0" distL="114300" distR="114300" simplePos="0" relativeHeight="251660288" behindDoc="1" locked="0" layoutInCell="1" allowOverlap="1">
          <wp:simplePos x="0" y="0"/>
          <wp:positionH relativeFrom="column">
            <wp:posOffset>552450</wp:posOffset>
          </wp:positionH>
          <wp:positionV relativeFrom="paragraph">
            <wp:posOffset>-3810</wp:posOffset>
          </wp:positionV>
          <wp:extent cx="4838700" cy="1433830"/>
          <wp:effectExtent l="0" t="0" r="0" b="0"/>
          <wp:wrapTight wrapText="bothSides">
            <wp:wrapPolygon edited="0">
              <wp:start x="0" y="0"/>
              <wp:lineTo x="0" y="574"/>
              <wp:lineTo x="1956" y="4592"/>
              <wp:lineTo x="4422" y="9183"/>
              <wp:lineTo x="7569" y="13775"/>
              <wp:lineTo x="4337" y="18367"/>
              <wp:lineTo x="2636" y="21236"/>
              <wp:lineTo x="21515" y="21236"/>
              <wp:lineTo x="21515" y="18367"/>
              <wp:lineTo x="20239" y="13775"/>
              <wp:lineTo x="19984" y="7748"/>
              <wp:lineTo x="18624" y="7174"/>
              <wp:lineTo x="10120" y="4592"/>
              <wp:lineTo x="255"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O_housing_nordic_Logotype.ep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838700" cy="1433830"/>
                  </a:xfrm>
                  <a:prstGeom prst="rect">
                    <a:avLst/>
                  </a:prstGeom>
                </pic:spPr>
              </pic:pic>
            </a:graphicData>
          </a:graphic>
        </wp:anchor>
      </w:drawing>
    </w:r>
  </w:p>
  <w:p w:rsidR="0080410E" w:rsidRDefault="0091753F" w:rsidP="00481CC0">
    <w:pPr>
      <w:pStyle w:val="Sidehoved"/>
      <w:tabs>
        <w:tab w:val="clear" w:pos="8998"/>
        <w:tab w:val="clear" w:pos="9072"/>
        <w:tab w:val="clear" w:pos="9718"/>
        <w:tab w:val="left" w:pos="7920"/>
        <w:tab w:val="left" w:pos="9180"/>
      </w:tabs>
      <w:ind w:left="0" w:right="540"/>
      <w:rPr>
        <w:rFonts w:ascii="TradeGothic" w:hAnsi="TradeGothic"/>
        <w:sz w:val="18"/>
        <w:szCs w:val="18"/>
      </w:rPr>
    </w:pPr>
  </w:p>
  <w:p w:rsidR="0080410E" w:rsidRDefault="0091753F" w:rsidP="00481CC0">
    <w:pPr>
      <w:pStyle w:val="Sidehoved"/>
      <w:tabs>
        <w:tab w:val="clear" w:pos="8998"/>
        <w:tab w:val="clear" w:pos="9072"/>
        <w:tab w:val="clear" w:pos="9718"/>
        <w:tab w:val="left" w:pos="7920"/>
        <w:tab w:val="left" w:pos="9180"/>
      </w:tabs>
      <w:ind w:left="0" w:right="540"/>
      <w:rPr>
        <w:rFonts w:ascii="TradeGothic" w:hAnsi="TradeGothic"/>
        <w:sz w:val="18"/>
        <w:szCs w:val="18"/>
      </w:rPr>
    </w:pPr>
  </w:p>
  <w:p w:rsidR="0080410E" w:rsidRDefault="0091753F" w:rsidP="00481CC0">
    <w:pPr>
      <w:pStyle w:val="Sidehoved"/>
      <w:tabs>
        <w:tab w:val="clear" w:pos="8998"/>
        <w:tab w:val="clear" w:pos="9072"/>
        <w:tab w:val="clear" w:pos="9718"/>
        <w:tab w:val="left" w:pos="7920"/>
        <w:tab w:val="left" w:pos="9180"/>
      </w:tabs>
      <w:ind w:left="0" w:right="540"/>
      <w:rPr>
        <w:rFonts w:ascii="TradeGothic" w:hAnsi="TradeGothic"/>
        <w:sz w:val="18"/>
        <w:szCs w:val="18"/>
      </w:rPr>
    </w:pPr>
  </w:p>
  <w:p w:rsidR="0080410E" w:rsidRDefault="0091753F" w:rsidP="00481CC0">
    <w:pPr>
      <w:pStyle w:val="Sidehoved"/>
      <w:tabs>
        <w:tab w:val="clear" w:pos="8998"/>
        <w:tab w:val="clear" w:pos="9072"/>
        <w:tab w:val="clear" w:pos="9718"/>
        <w:tab w:val="left" w:pos="7920"/>
        <w:tab w:val="left" w:pos="9180"/>
      </w:tabs>
      <w:ind w:left="0" w:right="540"/>
      <w:rPr>
        <w:rFonts w:ascii="TradeGothic" w:hAnsi="TradeGothic"/>
        <w:sz w:val="18"/>
        <w:szCs w:val="18"/>
      </w:rPr>
    </w:pPr>
    <w:r>
      <w:rPr>
        <w:rFonts w:ascii="TradeGothic" w:hAnsi="TradeGothic"/>
        <w:sz w:val="18"/>
        <w:szCs w:val="18"/>
      </w:rPr>
      <w:tab/>
    </w:r>
  </w:p>
  <w:p w:rsidR="0080410E" w:rsidRDefault="0091753F" w:rsidP="0036722D">
    <w:pPr>
      <w:pStyle w:val="Sidehoved"/>
      <w:tabs>
        <w:tab w:val="clear" w:pos="8998"/>
        <w:tab w:val="clear" w:pos="9072"/>
        <w:tab w:val="clear" w:pos="9718"/>
        <w:tab w:val="left" w:pos="6840"/>
        <w:tab w:val="left" w:pos="9180"/>
      </w:tabs>
      <w:ind w:left="0" w:right="540"/>
      <w:rPr>
        <w:rFonts w:ascii="TradeGothic" w:hAnsi="TradeGothic"/>
        <w:sz w:val="18"/>
        <w:szCs w:val="18"/>
      </w:rPr>
    </w:pPr>
    <w:r>
      <w:rPr>
        <w:rFonts w:ascii="TradeGothic" w:hAnsi="TradeGothic"/>
        <w:sz w:val="18"/>
        <w:szCs w:val="18"/>
      </w:rPr>
      <w:tab/>
    </w:r>
    <w:r>
      <w:rPr>
        <w:rFonts w:ascii="TradeGothic" w:hAnsi="TradeGothic"/>
        <w:sz w:val="18"/>
        <w:szCs w:val="18"/>
      </w:rPr>
      <w:tab/>
    </w:r>
  </w:p>
  <w:p w:rsidR="0080410E" w:rsidRDefault="0091753F" w:rsidP="004B2856">
    <w:pPr>
      <w:pStyle w:val="Sidehoved"/>
      <w:tabs>
        <w:tab w:val="clear" w:pos="8998"/>
        <w:tab w:val="clear" w:pos="9072"/>
        <w:tab w:val="clear" w:pos="9718"/>
        <w:tab w:val="left" w:pos="6840"/>
        <w:tab w:val="left" w:pos="9180"/>
      </w:tabs>
      <w:ind w:left="1463" w:right="540" w:hanging="102"/>
      <w:rPr>
        <w:rFonts w:ascii="TradeGothic" w:hAnsi="TradeGothic"/>
        <w:sz w:val="18"/>
        <w:szCs w:val="18"/>
      </w:rPr>
    </w:pPr>
  </w:p>
  <w:p w:rsidR="0080410E" w:rsidRDefault="0091753F" w:rsidP="004B2856">
    <w:pPr>
      <w:pStyle w:val="Sidehoved"/>
      <w:tabs>
        <w:tab w:val="clear" w:pos="8998"/>
        <w:tab w:val="clear" w:pos="9072"/>
        <w:tab w:val="clear" w:pos="9718"/>
        <w:tab w:val="left" w:pos="6840"/>
        <w:tab w:val="left" w:pos="9180"/>
      </w:tabs>
      <w:ind w:left="1463" w:right="540" w:hanging="102"/>
      <w:rPr>
        <w:rFonts w:ascii="TradeGothic" w:hAnsi="TradeGothic"/>
        <w:sz w:val="18"/>
        <w:szCs w:val="18"/>
      </w:rPr>
    </w:pPr>
  </w:p>
  <w:p w:rsidR="0080410E" w:rsidRDefault="0091753F" w:rsidP="004B2856">
    <w:pPr>
      <w:pStyle w:val="Sidehoved"/>
      <w:tabs>
        <w:tab w:val="clear" w:pos="8998"/>
        <w:tab w:val="clear" w:pos="9072"/>
        <w:tab w:val="clear" w:pos="9718"/>
        <w:tab w:val="left" w:pos="6840"/>
        <w:tab w:val="left" w:pos="9180"/>
      </w:tabs>
      <w:ind w:left="1463" w:right="540" w:hanging="102"/>
      <w:rPr>
        <w:rFonts w:ascii="TradeGothic" w:hAnsi="TradeGothic"/>
        <w:sz w:val="18"/>
        <w:szCs w:val="18"/>
      </w:rPr>
    </w:pPr>
  </w:p>
  <w:p w:rsidR="0080410E" w:rsidRDefault="0091753F" w:rsidP="004B2856">
    <w:pPr>
      <w:pStyle w:val="Sidehoved"/>
      <w:tabs>
        <w:tab w:val="clear" w:pos="8998"/>
        <w:tab w:val="clear" w:pos="9072"/>
        <w:tab w:val="clear" w:pos="9718"/>
        <w:tab w:val="left" w:pos="6840"/>
        <w:tab w:val="left" w:pos="9180"/>
      </w:tabs>
      <w:ind w:left="1463" w:right="540" w:hanging="102"/>
      <w:rPr>
        <w:rFonts w:ascii="TradeGothic" w:hAnsi="TradeGothic"/>
        <w:sz w:val="18"/>
        <w:szCs w:val="18"/>
      </w:rPr>
    </w:pPr>
    <w:r>
      <w:rPr>
        <w:rFonts w:ascii="TradeGothic" w:hAnsi="TradeGothic"/>
        <w:sz w:val="18"/>
        <w:szCs w:val="18"/>
      </w:rPr>
      <w:tab/>
    </w:r>
  </w:p>
  <w:p w:rsidR="0036722D" w:rsidRDefault="0091753F" w:rsidP="004B2856">
    <w:pPr>
      <w:pStyle w:val="Sidehoved"/>
      <w:tabs>
        <w:tab w:val="clear" w:pos="8998"/>
        <w:tab w:val="clear" w:pos="9072"/>
        <w:tab w:val="clear" w:pos="9718"/>
        <w:tab w:val="left" w:pos="6840"/>
        <w:tab w:val="left" w:pos="9180"/>
      </w:tabs>
      <w:ind w:left="1463" w:right="540" w:hanging="102"/>
      <w:rPr>
        <w:rFonts w:ascii="TradeGothic" w:hAnsi="TradeGothic"/>
        <w:sz w:val="18"/>
        <w:szCs w:val="18"/>
      </w:rPr>
    </w:pPr>
  </w:p>
  <w:p w:rsidR="0036722D" w:rsidRDefault="0091753F" w:rsidP="004B2856">
    <w:pPr>
      <w:pStyle w:val="Sidehoved"/>
      <w:tabs>
        <w:tab w:val="clear" w:pos="8998"/>
        <w:tab w:val="clear" w:pos="9072"/>
        <w:tab w:val="clear" w:pos="9718"/>
        <w:tab w:val="left" w:pos="6840"/>
        <w:tab w:val="left" w:pos="9180"/>
      </w:tabs>
      <w:ind w:left="1463" w:right="540" w:hanging="102"/>
      <w:rPr>
        <w:rFonts w:ascii="TradeGothic" w:hAnsi="TradeGothic"/>
        <w:sz w:val="18"/>
        <w:szCs w:val="18"/>
      </w:rPr>
    </w:pPr>
  </w:p>
  <w:p w:rsidR="0036722D" w:rsidRDefault="0091753F" w:rsidP="004B2856">
    <w:pPr>
      <w:pStyle w:val="Sidehoved"/>
      <w:tabs>
        <w:tab w:val="clear" w:pos="8998"/>
        <w:tab w:val="clear" w:pos="9072"/>
        <w:tab w:val="clear" w:pos="9718"/>
        <w:tab w:val="left" w:pos="6840"/>
        <w:tab w:val="left" w:pos="9180"/>
      </w:tabs>
      <w:ind w:left="1463" w:right="540" w:hanging="102"/>
      <w:rPr>
        <w:rFonts w:ascii="TradeGothic" w:hAnsi="TradeGothic"/>
        <w:sz w:val="18"/>
        <w:szCs w:val="18"/>
      </w:rPr>
    </w:pPr>
  </w:p>
  <w:p w:rsidR="0036722D" w:rsidRDefault="0091753F" w:rsidP="004B2856">
    <w:pPr>
      <w:pStyle w:val="Sidehoved"/>
      <w:tabs>
        <w:tab w:val="clear" w:pos="8998"/>
        <w:tab w:val="clear" w:pos="9072"/>
        <w:tab w:val="clear" w:pos="9718"/>
        <w:tab w:val="left" w:pos="6840"/>
        <w:tab w:val="left" w:pos="9180"/>
      </w:tabs>
      <w:ind w:left="1463" w:right="540" w:hanging="102"/>
      <w:rPr>
        <w:rFonts w:ascii="TradeGothic" w:hAnsi="TradeGothic"/>
        <w:sz w:val="18"/>
        <w:szCs w:val="18"/>
      </w:rPr>
    </w:pPr>
  </w:p>
  <w:p w:rsidR="0036722D" w:rsidRDefault="0091753F" w:rsidP="004B2856">
    <w:pPr>
      <w:pStyle w:val="Sidehoved"/>
      <w:tabs>
        <w:tab w:val="clear" w:pos="8998"/>
        <w:tab w:val="clear" w:pos="9072"/>
        <w:tab w:val="clear" w:pos="9718"/>
        <w:tab w:val="left" w:pos="6840"/>
        <w:tab w:val="left" w:pos="9180"/>
      </w:tabs>
      <w:ind w:left="1463" w:right="540" w:hanging="102"/>
      <w:rPr>
        <w:rFonts w:ascii="TradeGothic" w:hAnsi="TradeGothic"/>
        <w:sz w:val="18"/>
        <w:szCs w:val="18"/>
      </w:rPr>
    </w:pPr>
  </w:p>
  <w:p w:rsidR="0036722D" w:rsidRDefault="0091753F" w:rsidP="004B2856">
    <w:pPr>
      <w:pStyle w:val="Sidehoved"/>
      <w:tabs>
        <w:tab w:val="clear" w:pos="8998"/>
        <w:tab w:val="clear" w:pos="9072"/>
        <w:tab w:val="clear" w:pos="9718"/>
        <w:tab w:val="left" w:pos="6840"/>
        <w:tab w:val="left" w:pos="9180"/>
      </w:tabs>
      <w:ind w:left="1463" w:right="540" w:hanging="102"/>
      <w:rPr>
        <w:rFonts w:ascii="TradeGothic" w:hAnsi="TradeGothic"/>
        <w:sz w:val="18"/>
        <w:szCs w:val="18"/>
      </w:rPr>
    </w:pPr>
  </w:p>
  <w:p w:rsidR="0036722D" w:rsidRDefault="0091753F" w:rsidP="004B2856">
    <w:pPr>
      <w:pStyle w:val="Sidehoved"/>
      <w:tabs>
        <w:tab w:val="clear" w:pos="8998"/>
        <w:tab w:val="clear" w:pos="9072"/>
        <w:tab w:val="clear" w:pos="9718"/>
        <w:tab w:val="left" w:pos="6840"/>
        <w:tab w:val="left" w:pos="9180"/>
      </w:tabs>
      <w:ind w:left="1463" w:right="540" w:hanging="102"/>
      <w:rPr>
        <w:rFonts w:ascii="TradeGothic" w:hAnsi="TradeGothic"/>
        <w:sz w:val="18"/>
        <w:szCs w:val="18"/>
      </w:rPr>
    </w:pPr>
  </w:p>
  <w:p w:rsidR="0036722D" w:rsidRDefault="0091753F" w:rsidP="004B2856">
    <w:pPr>
      <w:pStyle w:val="Sidehoved"/>
      <w:tabs>
        <w:tab w:val="clear" w:pos="8998"/>
        <w:tab w:val="clear" w:pos="9072"/>
        <w:tab w:val="clear" w:pos="9718"/>
        <w:tab w:val="left" w:pos="6840"/>
        <w:tab w:val="left" w:pos="9180"/>
      </w:tabs>
      <w:ind w:left="1463" w:right="540" w:hanging="102"/>
      <w:rPr>
        <w:rFonts w:ascii="TradeGothic" w:hAnsi="TradeGothic"/>
        <w:sz w:val="18"/>
        <w:szCs w:val="18"/>
      </w:rPr>
    </w:pPr>
  </w:p>
  <w:p w:rsidR="0036722D" w:rsidRDefault="0091753F" w:rsidP="004B2856">
    <w:pPr>
      <w:pStyle w:val="Sidehoved"/>
      <w:tabs>
        <w:tab w:val="clear" w:pos="8998"/>
        <w:tab w:val="clear" w:pos="9072"/>
        <w:tab w:val="clear" w:pos="9718"/>
        <w:tab w:val="left" w:pos="6840"/>
        <w:tab w:val="left" w:pos="9180"/>
      </w:tabs>
      <w:ind w:left="1463" w:right="540" w:hanging="102"/>
      <w:rPr>
        <w:rFonts w:ascii="TradeGothic" w:hAnsi="TradeGothic"/>
        <w:sz w:val="18"/>
        <w:szCs w:val="18"/>
      </w:rPr>
    </w:pPr>
  </w:p>
  <w:p w:rsidR="0080410E" w:rsidRPr="00481CC0" w:rsidRDefault="0091753F" w:rsidP="00481CC0">
    <w:pPr>
      <w:pStyle w:val="Sidehoved"/>
      <w:tabs>
        <w:tab w:val="clear" w:pos="8998"/>
        <w:tab w:val="clear" w:pos="9072"/>
        <w:tab w:val="clear" w:pos="9718"/>
        <w:tab w:val="left" w:pos="7920"/>
        <w:tab w:val="right" w:pos="9000"/>
      </w:tabs>
      <w:ind w:left="1463" w:right="539" w:hanging="102"/>
      <w:rPr>
        <w:rFonts w:ascii="TradeGothic" w:hAnsi="TradeGothic"/>
        <w:sz w:val="18"/>
        <w:szCs w:val="18"/>
      </w:rPr>
    </w:pP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footnotePr>
    <w:footnote w:id="-1"/>
    <w:footnote w:id="0"/>
  </w:footnotePr>
  <w:endnotePr>
    <w:endnote w:id="-1"/>
    <w:endnote w:id="0"/>
  </w:endnotePr>
  <w:compat/>
  <w:rsids>
    <w:rsidRoot w:val="00AB4B71"/>
    <w:rsid w:val="00060BB6"/>
    <w:rsid w:val="000B374D"/>
    <w:rsid w:val="001626D5"/>
    <w:rsid w:val="0019555E"/>
    <w:rsid w:val="001D4DF5"/>
    <w:rsid w:val="001D79D6"/>
    <w:rsid w:val="002252C7"/>
    <w:rsid w:val="00226B58"/>
    <w:rsid w:val="00291278"/>
    <w:rsid w:val="002E26D2"/>
    <w:rsid w:val="00335885"/>
    <w:rsid w:val="00362612"/>
    <w:rsid w:val="003B0F56"/>
    <w:rsid w:val="004306DD"/>
    <w:rsid w:val="004349EA"/>
    <w:rsid w:val="004663EC"/>
    <w:rsid w:val="00481184"/>
    <w:rsid w:val="004C357C"/>
    <w:rsid w:val="005B1606"/>
    <w:rsid w:val="00622C5F"/>
    <w:rsid w:val="006902CC"/>
    <w:rsid w:val="006A109E"/>
    <w:rsid w:val="00711244"/>
    <w:rsid w:val="00717A29"/>
    <w:rsid w:val="00782F8A"/>
    <w:rsid w:val="007A7BAF"/>
    <w:rsid w:val="007D2D07"/>
    <w:rsid w:val="00815EAB"/>
    <w:rsid w:val="00890EDD"/>
    <w:rsid w:val="00892E9B"/>
    <w:rsid w:val="0091753F"/>
    <w:rsid w:val="009916E7"/>
    <w:rsid w:val="009C3088"/>
    <w:rsid w:val="00AB4B71"/>
    <w:rsid w:val="00B45247"/>
    <w:rsid w:val="00B606E5"/>
    <w:rsid w:val="00CB6D37"/>
    <w:rsid w:val="00CC1AD8"/>
    <w:rsid w:val="00CE0A97"/>
    <w:rsid w:val="00D53D09"/>
    <w:rsid w:val="00DF065F"/>
    <w:rsid w:val="00E90747"/>
    <w:rsid w:val="00EB725C"/>
    <w:rsid w:val="00F14D32"/>
    <w:rsid w:val="00F8014A"/>
    <w:rsid w:val="00FB18A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B71"/>
    <w:pPr>
      <w:tabs>
        <w:tab w:val="left" w:pos="8998"/>
        <w:tab w:val="left" w:pos="9718"/>
      </w:tabs>
      <w:spacing w:after="0" w:line="240" w:lineRule="auto"/>
      <w:ind w:left="1361" w:right="1440"/>
    </w:pPr>
    <w:rPr>
      <w:rFonts w:ascii="Garamond" w:eastAsia="Times New Roman" w:hAnsi="Garamond" w:cs="Times New Roman"/>
      <w:lang w:val="sv-SE" w:eastAsia="sv-SE"/>
    </w:rPr>
  </w:style>
  <w:style w:type="paragraph" w:styleId="Overskrift1">
    <w:name w:val="heading 1"/>
    <w:basedOn w:val="Normal"/>
    <w:next w:val="Normal"/>
    <w:link w:val="Overskrift1Tegn"/>
    <w:qFormat/>
    <w:rsid w:val="00AB4B71"/>
    <w:pPr>
      <w:keepNext/>
      <w:spacing w:before="240" w:after="60"/>
      <w:outlineLvl w:val="0"/>
    </w:pPr>
    <w:rPr>
      <w:rFonts w:ascii="TradeGothic" w:hAnsi="TradeGothic" w:cs="Arial"/>
      <w:b/>
      <w:bCs/>
      <w:kern w:val="32"/>
      <w:sz w:val="32"/>
      <w:szCs w:val="32"/>
    </w:rPr>
  </w:style>
  <w:style w:type="paragraph" w:styleId="Overskrift2">
    <w:name w:val="heading 2"/>
    <w:basedOn w:val="Normal"/>
    <w:next w:val="Normal"/>
    <w:link w:val="Overskrift2Tegn"/>
    <w:qFormat/>
    <w:rsid w:val="00AB4B71"/>
    <w:pPr>
      <w:keepNext/>
      <w:spacing w:before="240" w:after="60"/>
      <w:outlineLvl w:val="1"/>
    </w:pPr>
    <w:rPr>
      <w:rFonts w:ascii="TradeGothic" w:hAnsi="TradeGothic" w:cs="Arial"/>
      <w:bCs/>
      <w:iCs/>
    </w:rPr>
  </w:style>
  <w:style w:type="paragraph" w:styleId="Overskrift3">
    <w:name w:val="heading 3"/>
    <w:basedOn w:val="Normal"/>
    <w:next w:val="Normal"/>
    <w:link w:val="Overskrift3Tegn"/>
    <w:qFormat/>
    <w:rsid w:val="00AB4B71"/>
    <w:pPr>
      <w:keepNext/>
      <w:spacing w:before="240" w:after="60"/>
      <w:outlineLvl w:val="2"/>
    </w:pPr>
    <w:rPr>
      <w:rFonts w:cs="Arial"/>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AB4B71"/>
    <w:rPr>
      <w:rFonts w:ascii="TradeGothic" w:eastAsia="Times New Roman" w:hAnsi="TradeGothic" w:cs="Arial"/>
      <w:b/>
      <w:bCs/>
      <w:kern w:val="32"/>
      <w:sz w:val="32"/>
      <w:szCs w:val="32"/>
      <w:lang w:val="sv-SE" w:eastAsia="sv-SE"/>
    </w:rPr>
  </w:style>
  <w:style w:type="character" w:customStyle="1" w:styleId="Overskrift2Tegn">
    <w:name w:val="Overskrift 2 Tegn"/>
    <w:basedOn w:val="Standardskrifttypeiafsnit"/>
    <w:link w:val="Overskrift2"/>
    <w:rsid w:val="00AB4B71"/>
    <w:rPr>
      <w:rFonts w:ascii="TradeGothic" w:eastAsia="Times New Roman" w:hAnsi="TradeGothic" w:cs="Arial"/>
      <w:bCs/>
      <w:iCs/>
      <w:lang w:val="sv-SE" w:eastAsia="sv-SE"/>
    </w:rPr>
  </w:style>
  <w:style w:type="character" w:customStyle="1" w:styleId="Overskrift3Tegn">
    <w:name w:val="Overskrift 3 Tegn"/>
    <w:basedOn w:val="Standardskrifttypeiafsnit"/>
    <w:link w:val="Overskrift3"/>
    <w:rsid w:val="00AB4B71"/>
    <w:rPr>
      <w:rFonts w:ascii="Garamond" w:eastAsia="Times New Roman" w:hAnsi="Garamond" w:cs="Arial"/>
      <w:b/>
      <w:bCs/>
      <w:lang w:val="sv-SE" w:eastAsia="sv-SE"/>
    </w:rPr>
  </w:style>
  <w:style w:type="paragraph" w:styleId="Sidehoved">
    <w:name w:val="header"/>
    <w:basedOn w:val="Normal"/>
    <w:link w:val="SidehovedTegn"/>
    <w:rsid w:val="00AB4B71"/>
    <w:pPr>
      <w:tabs>
        <w:tab w:val="center" w:pos="4536"/>
        <w:tab w:val="right" w:pos="9072"/>
      </w:tabs>
    </w:pPr>
  </w:style>
  <w:style w:type="character" w:customStyle="1" w:styleId="SidehovedTegn">
    <w:name w:val="Sidehoved Tegn"/>
    <w:basedOn w:val="Standardskrifttypeiafsnit"/>
    <w:link w:val="Sidehoved"/>
    <w:rsid w:val="00AB4B71"/>
    <w:rPr>
      <w:rFonts w:ascii="Garamond" w:eastAsia="Times New Roman" w:hAnsi="Garamond" w:cs="Times New Roman"/>
      <w:lang w:val="sv-SE" w:eastAsia="sv-SE"/>
    </w:rPr>
  </w:style>
  <w:style w:type="paragraph" w:styleId="Sidefod">
    <w:name w:val="footer"/>
    <w:basedOn w:val="Normal"/>
    <w:link w:val="SidefodTegn"/>
    <w:rsid w:val="00AB4B71"/>
    <w:pPr>
      <w:tabs>
        <w:tab w:val="center" w:pos="4536"/>
        <w:tab w:val="right" w:pos="9072"/>
      </w:tabs>
    </w:pPr>
  </w:style>
  <w:style w:type="character" w:customStyle="1" w:styleId="SidefodTegn">
    <w:name w:val="Sidefod Tegn"/>
    <w:basedOn w:val="Standardskrifttypeiafsnit"/>
    <w:link w:val="Sidefod"/>
    <w:rsid w:val="00AB4B71"/>
    <w:rPr>
      <w:rFonts w:ascii="Garamond" w:eastAsia="Times New Roman" w:hAnsi="Garamond" w:cs="Times New Roman"/>
      <w:lang w:val="sv-SE" w:eastAsia="sv-SE"/>
    </w:rPr>
  </w:style>
  <w:style w:type="character" w:styleId="Sidetal">
    <w:name w:val="page number"/>
    <w:basedOn w:val="Standardskrifttypeiafsnit"/>
    <w:rsid w:val="00AB4B71"/>
  </w:style>
  <w:style w:type="character" w:styleId="Hyperlink">
    <w:name w:val="Hyperlink"/>
    <w:basedOn w:val="Standardskrifttypeiafsnit"/>
    <w:rsid w:val="00AB4B71"/>
    <w:rPr>
      <w:color w:val="0000FF" w:themeColor="hyperlink"/>
      <w:u w:val="single"/>
    </w:rPr>
  </w:style>
  <w:style w:type="character" w:customStyle="1" w:styleId="a2009xxxbrodtext1">
    <w:name w:val="a2009xxxbrodtext1"/>
    <w:basedOn w:val="Standardskrifttypeiafsnit"/>
    <w:rsid w:val="00AB4B71"/>
    <w:rPr>
      <w:rFonts w:ascii="Verdana" w:hAnsi="Verdana" w:hint="default"/>
      <w:b w:val="0"/>
      <w:bCs w:val="0"/>
      <w:i w:val="0"/>
      <w:iCs w:val="0"/>
      <w:strike w:val="0"/>
      <w:dstrike w:val="0"/>
      <w:color w:val="373737"/>
      <w:sz w:val="29"/>
      <w:szCs w:val="29"/>
      <w:u w:val="none"/>
      <w:effect w:val="none"/>
    </w:rPr>
  </w:style>
  <w:style w:type="paragraph" w:styleId="Fodnotetekst">
    <w:name w:val="footnote text"/>
    <w:basedOn w:val="Normal"/>
    <w:link w:val="FodnotetekstTegn"/>
    <w:rsid w:val="00AB4B71"/>
    <w:rPr>
      <w:sz w:val="20"/>
      <w:szCs w:val="20"/>
    </w:rPr>
  </w:style>
  <w:style w:type="character" w:customStyle="1" w:styleId="FodnotetekstTegn">
    <w:name w:val="Fodnotetekst Tegn"/>
    <w:basedOn w:val="Standardskrifttypeiafsnit"/>
    <w:link w:val="Fodnotetekst"/>
    <w:rsid w:val="00AB4B71"/>
    <w:rPr>
      <w:rFonts w:ascii="Garamond" w:eastAsia="Times New Roman" w:hAnsi="Garamond" w:cs="Times New Roman"/>
      <w:sz w:val="20"/>
      <w:szCs w:val="20"/>
      <w:lang w:val="sv-SE" w:eastAsia="sv-SE"/>
    </w:rPr>
  </w:style>
  <w:style w:type="character" w:styleId="Fodnotehenvisning">
    <w:name w:val="footnote reference"/>
    <w:basedOn w:val="Standardskrifttypeiafsnit"/>
    <w:rsid w:val="00AB4B71"/>
    <w:rPr>
      <w:vertAlign w:val="superscript"/>
    </w:rPr>
  </w:style>
  <w:style w:type="paragraph" w:styleId="Billedtekst">
    <w:name w:val="caption"/>
    <w:basedOn w:val="Normal"/>
    <w:next w:val="Normal"/>
    <w:unhideWhenUsed/>
    <w:qFormat/>
    <w:rsid w:val="00AB4B71"/>
    <w:pPr>
      <w:spacing w:after="200"/>
    </w:pPr>
    <w:rPr>
      <w:b/>
      <w:bCs/>
      <w:color w:val="4F81BD" w:themeColor="accent1"/>
      <w:sz w:val="18"/>
      <w:szCs w:val="18"/>
    </w:rPr>
  </w:style>
  <w:style w:type="table" w:styleId="Tabel-Gitter">
    <w:name w:val="Table Grid"/>
    <w:basedOn w:val="Tabel-Normal"/>
    <w:rsid w:val="00AB4B71"/>
    <w:pPr>
      <w:spacing w:after="0" w:line="240" w:lineRule="auto"/>
    </w:pPr>
    <w:rPr>
      <w:rFonts w:ascii="Times New Roman" w:eastAsia="Times New Roman" w:hAnsi="Times New Roman" w:cs="Times New Roman"/>
      <w:sz w:val="20"/>
      <w:szCs w:val="20"/>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AB4B7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B4B71"/>
    <w:rPr>
      <w:rFonts w:ascii="Tahoma" w:eastAsia="Times New Roman" w:hAnsi="Tahoma" w:cs="Tahoma"/>
      <w:sz w:val="16"/>
      <w:szCs w:val="16"/>
      <w:lang w:val="sv-SE" w:eastAsia="sv-S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inspirationskatalog.dk/"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bl.dk/almene-boligdage/om-almene-boligdag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1268</Words>
  <Characters>7735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Malene</dc:creator>
  <cp:lastModifiedBy>Malene</cp:lastModifiedBy>
  <cp:revision>1</cp:revision>
  <dcterms:created xsi:type="dcterms:W3CDTF">2011-06-14T07:56:00Z</dcterms:created>
  <dcterms:modified xsi:type="dcterms:W3CDTF">2011-06-14T08:05:00Z</dcterms:modified>
</cp:coreProperties>
</file>